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FF8" w:rsidRPr="00997ED4" w:rsidRDefault="00916FF8">
      <w:pPr>
        <w:jc w:val="right"/>
        <w:rPr>
          <w:rFonts w:cs="Miriam" w:hint="cs"/>
          <w:b/>
          <w:bCs/>
          <w:sz w:val="2"/>
          <w:szCs w:val="2"/>
          <w:u w:val="single"/>
        </w:rPr>
      </w:pPr>
    </w:p>
    <w:p w:rsidR="00916FF8" w:rsidRPr="00377102" w:rsidRDefault="00916FF8">
      <w:pPr>
        <w:jc w:val="right"/>
        <w:rPr>
          <w:rFonts w:cs="Miriam"/>
          <w:b/>
          <w:bCs/>
          <w:sz w:val="16"/>
          <w:szCs w:val="16"/>
          <w:u w:val="single"/>
        </w:rPr>
      </w:pPr>
    </w:p>
    <w:tbl>
      <w:tblPr>
        <w:bidiVisual/>
        <w:tblW w:w="8363" w:type="dxa"/>
        <w:tblInd w:w="9" w:type="dxa"/>
        <w:tblLook w:val="0000" w:firstRow="0" w:lastRow="0" w:firstColumn="0" w:lastColumn="0" w:noHBand="0" w:noVBand="0"/>
      </w:tblPr>
      <w:tblGrid>
        <w:gridCol w:w="8363"/>
      </w:tblGrid>
      <w:tr w:rsidR="00036227" w:rsidTr="0039709B">
        <w:tc>
          <w:tcPr>
            <w:tcW w:w="7848" w:type="dxa"/>
          </w:tcPr>
          <w:p w:rsidR="00916FF8" w:rsidRPr="00624A42" w:rsidRDefault="00D65674" w:rsidP="004C7868">
            <w:pPr>
              <w:pStyle w:val="FileNumber0"/>
              <w:rPr>
                <w:sz w:val="28"/>
                <w:u w:val="single"/>
                <w:rtl/>
              </w:rPr>
            </w:pPr>
            <w:r>
              <w:rPr>
                <w:u w:val="single"/>
                <w:rtl/>
              </w:rPr>
              <w:t xml:space="preserve">בבית המשפט העליון </w:t>
            </w:r>
          </w:p>
        </w:tc>
      </w:tr>
    </w:tbl>
    <w:p w:rsidR="00916FF8" w:rsidRDefault="00916FF8">
      <w:pPr>
        <w:jc w:val="right"/>
        <w:rPr>
          <w:rFonts w:cs="Miriam"/>
          <w:b/>
          <w:bCs/>
          <w:u w:val="single"/>
        </w:rPr>
      </w:pPr>
    </w:p>
    <w:tbl>
      <w:tblPr>
        <w:bidiVisual/>
        <w:tblW w:w="8363" w:type="dxa"/>
        <w:tblLook w:val="0000" w:firstRow="0" w:lastRow="0" w:firstColumn="0" w:lastColumn="0" w:noHBand="0" w:noVBand="0"/>
      </w:tblPr>
      <w:tblGrid>
        <w:gridCol w:w="8363"/>
      </w:tblGrid>
      <w:tr w:rsidR="00036227" w:rsidTr="0039709B">
        <w:trPr>
          <w:trHeight w:val="342"/>
        </w:trPr>
        <w:tc>
          <w:tcPr>
            <w:tcW w:w="9828" w:type="dxa"/>
          </w:tcPr>
          <w:p w:rsidR="00916FF8" w:rsidRPr="00810894" w:rsidRDefault="00D65674">
            <w:pPr>
              <w:pStyle w:val="FileNumber"/>
              <w:rPr>
                <w:sz w:val="28"/>
                <w:szCs w:val="28"/>
              </w:rPr>
            </w:pPr>
            <w:bookmarkStart w:id="0" w:name="casename_body"/>
            <w:proofErr w:type="spellStart"/>
            <w:r>
              <w:rPr>
                <w:sz w:val="28"/>
                <w:szCs w:val="28"/>
                <w:rtl/>
              </w:rPr>
              <w:t>רע"פ</w:t>
            </w:r>
            <w:proofErr w:type="spellEnd"/>
            <w:r>
              <w:rPr>
                <w:sz w:val="28"/>
                <w:szCs w:val="28"/>
                <w:rtl/>
              </w:rPr>
              <w:t xml:space="preserve">  6477/20</w:t>
            </w:r>
          </w:p>
        </w:tc>
      </w:tr>
      <w:bookmarkEnd w:id="0"/>
    </w:tbl>
    <w:p w:rsidR="00916FF8" w:rsidRDefault="00916FF8">
      <w:pPr>
        <w:jc w:val="right"/>
        <w:rPr>
          <w:rFonts w:cs="Miriam"/>
          <w:b/>
          <w:bCs/>
          <w:u w:val="single"/>
        </w:rPr>
      </w:pPr>
    </w:p>
    <w:tbl>
      <w:tblPr>
        <w:bidiVisual/>
        <w:tblW w:w="8364" w:type="dxa"/>
        <w:tblLayout w:type="fixed"/>
        <w:tblLook w:val="0000" w:firstRow="0" w:lastRow="0" w:firstColumn="0" w:lastColumn="0" w:noHBand="0" w:noVBand="0"/>
      </w:tblPr>
      <w:tblGrid>
        <w:gridCol w:w="3210"/>
        <w:gridCol w:w="5154"/>
      </w:tblGrid>
      <w:tr w:rsidR="00036227" w:rsidTr="00EC23AC">
        <w:trPr>
          <w:trHeight w:val="287"/>
        </w:trPr>
        <w:tc>
          <w:tcPr>
            <w:tcW w:w="3261" w:type="dxa"/>
          </w:tcPr>
          <w:p w:rsidR="00036227" w:rsidRDefault="00CB7600">
            <w:pPr>
              <w:pStyle w:val="BodyRuller"/>
              <w:rPr>
                <w:rFonts w:cs="Miriam"/>
                <w:b/>
                <w:bCs/>
                <w:u w:val="single"/>
              </w:rPr>
            </w:pPr>
            <w:r>
              <w:rPr>
                <w:rFonts w:hint="cs"/>
                <w:rtl/>
              </w:rPr>
              <w:t>ל</w:t>
            </w:r>
            <w:r w:rsidR="00036227">
              <w:rPr>
                <w:rtl/>
              </w:rPr>
              <w:t>פני:</w:t>
            </w:r>
            <w:r w:rsidR="00036227">
              <w:rPr>
                <w:rtl/>
              </w:rPr>
              <w:tab/>
            </w:r>
          </w:p>
        </w:tc>
        <w:tc>
          <w:tcPr>
            <w:tcW w:w="5239" w:type="dxa"/>
          </w:tcPr>
          <w:p w:rsidR="00036227" w:rsidRDefault="00D65674">
            <w:pPr>
              <w:pStyle w:val="BodyRuller"/>
            </w:pPr>
            <w:r>
              <w:rPr>
                <w:rtl/>
              </w:rPr>
              <w:t>כבוד השופט נ' הנדל</w:t>
            </w:r>
          </w:p>
        </w:tc>
      </w:tr>
      <w:tr w:rsidR="00D65674" w:rsidTr="00EC23AC">
        <w:trPr>
          <w:trHeight w:val="287"/>
        </w:trPr>
        <w:tc>
          <w:tcPr>
            <w:tcW w:w="3261" w:type="dxa"/>
          </w:tcPr>
          <w:p w:rsidR="00D65674" w:rsidRDefault="00D65674">
            <w:pPr>
              <w:pStyle w:val="BodyRuller"/>
              <w:rPr>
                <w:rtl/>
              </w:rPr>
            </w:pPr>
          </w:p>
        </w:tc>
        <w:tc>
          <w:tcPr>
            <w:tcW w:w="5239" w:type="dxa"/>
          </w:tcPr>
          <w:p w:rsidR="00D65674" w:rsidRDefault="00D65674">
            <w:pPr>
              <w:pStyle w:val="BodyRuller"/>
              <w:rPr>
                <w:rtl/>
              </w:rPr>
            </w:pPr>
            <w:r>
              <w:rPr>
                <w:rtl/>
              </w:rPr>
              <w:t>כבוד השופט י' אלרון</w:t>
            </w:r>
          </w:p>
        </w:tc>
      </w:tr>
      <w:tr w:rsidR="00D65674" w:rsidTr="00EC23AC">
        <w:trPr>
          <w:trHeight w:val="287"/>
        </w:trPr>
        <w:tc>
          <w:tcPr>
            <w:tcW w:w="3261" w:type="dxa"/>
          </w:tcPr>
          <w:p w:rsidR="00D65674" w:rsidRDefault="00D65674">
            <w:pPr>
              <w:pStyle w:val="BodyRuller"/>
              <w:rPr>
                <w:rtl/>
              </w:rPr>
            </w:pPr>
          </w:p>
        </w:tc>
        <w:tc>
          <w:tcPr>
            <w:tcW w:w="5239" w:type="dxa"/>
          </w:tcPr>
          <w:p w:rsidR="00D65674" w:rsidRDefault="00D65674">
            <w:pPr>
              <w:pStyle w:val="BodyRuller"/>
              <w:rPr>
                <w:rtl/>
              </w:rPr>
            </w:pPr>
            <w:r>
              <w:rPr>
                <w:rtl/>
              </w:rPr>
              <w:t>כבוד השופטת י' וילנר</w:t>
            </w:r>
          </w:p>
        </w:tc>
      </w:tr>
    </w:tbl>
    <w:p w:rsidR="00916FF8" w:rsidRDefault="00916FF8">
      <w:pPr>
        <w:pStyle w:val="Ruller3"/>
        <w:rPr>
          <w:rFonts w:cs="Miriam"/>
          <w:b/>
          <w:bCs/>
          <w:u w:val="single"/>
          <w:rtl/>
        </w:rPr>
      </w:pPr>
    </w:p>
    <w:tbl>
      <w:tblPr>
        <w:bidiVisual/>
        <w:tblW w:w="8364" w:type="dxa"/>
        <w:tblLayout w:type="fixed"/>
        <w:tblLook w:val="0000" w:firstRow="0" w:lastRow="0" w:firstColumn="0" w:lastColumn="0" w:noHBand="0" w:noVBand="0"/>
      </w:tblPr>
      <w:tblGrid>
        <w:gridCol w:w="3210"/>
        <w:gridCol w:w="5154"/>
      </w:tblGrid>
      <w:tr w:rsidR="00D00CB7" w:rsidTr="00DD6306">
        <w:trPr>
          <w:trHeight w:val="287"/>
        </w:trPr>
        <w:tc>
          <w:tcPr>
            <w:tcW w:w="3261" w:type="dxa"/>
          </w:tcPr>
          <w:p w:rsidR="00D00CB7" w:rsidRPr="00E75223" w:rsidRDefault="00D65674" w:rsidP="00DD6306">
            <w:pPr>
              <w:pStyle w:val="BodyRuller"/>
              <w:rPr>
                <w:rFonts w:ascii="David" w:hAnsi="David"/>
              </w:rPr>
            </w:pPr>
            <w:r>
              <w:rPr>
                <w:rFonts w:ascii="David" w:hAnsi="David"/>
                <w:rtl/>
              </w:rPr>
              <w:t>המבקש:</w:t>
            </w:r>
          </w:p>
        </w:tc>
        <w:tc>
          <w:tcPr>
            <w:tcW w:w="5239" w:type="dxa"/>
          </w:tcPr>
          <w:p w:rsidR="00D00CB7" w:rsidRDefault="00D65674" w:rsidP="00DD6306">
            <w:pPr>
              <w:pStyle w:val="BodyRuller"/>
            </w:pPr>
            <w:r>
              <w:rPr>
                <w:rtl/>
              </w:rPr>
              <w:t>ניסו שחם</w:t>
            </w:r>
          </w:p>
        </w:tc>
      </w:tr>
    </w:tbl>
    <w:p w:rsidR="00D00CB7" w:rsidRDefault="00D00CB7">
      <w:pPr>
        <w:pStyle w:val="Ruller3"/>
      </w:pPr>
    </w:p>
    <w:tbl>
      <w:tblPr>
        <w:bidiVisual/>
        <w:tblW w:w="8363" w:type="dxa"/>
        <w:tblLook w:val="0000" w:firstRow="0" w:lastRow="0" w:firstColumn="0" w:lastColumn="0" w:noHBand="0" w:noVBand="0"/>
      </w:tblPr>
      <w:tblGrid>
        <w:gridCol w:w="3222"/>
        <w:gridCol w:w="5141"/>
      </w:tblGrid>
      <w:tr w:rsidR="00036227" w:rsidTr="0039709B">
        <w:tc>
          <w:tcPr>
            <w:tcW w:w="3284" w:type="dxa"/>
          </w:tcPr>
          <w:p w:rsidR="00036227" w:rsidRDefault="00036227">
            <w:pPr>
              <w:pStyle w:val="BodyRuller"/>
            </w:pPr>
          </w:p>
        </w:tc>
        <w:tc>
          <w:tcPr>
            <w:tcW w:w="5238" w:type="dxa"/>
          </w:tcPr>
          <w:p w:rsidR="00036227" w:rsidRDefault="00036227">
            <w:pPr>
              <w:pStyle w:val="BodyRuller"/>
            </w:pPr>
            <w:r>
              <w:rPr>
                <w:rFonts w:hint="cs"/>
                <w:rtl/>
              </w:rPr>
              <w:t>נ</w:t>
            </w:r>
            <w:r>
              <w:t xml:space="preserve">  </w:t>
            </w:r>
            <w:r>
              <w:rPr>
                <w:rFonts w:hint="cs"/>
                <w:rtl/>
              </w:rPr>
              <w:t>ג</w:t>
            </w:r>
            <w:r>
              <w:t xml:space="preserve">  </w:t>
            </w:r>
            <w:r>
              <w:rPr>
                <w:rFonts w:hint="cs"/>
                <w:rtl/>
              </w:rPr>
              <w:t>ד</w:t>
            </w:r>
          </w:p>
        </w:tc>
      </w:tr>
    </w:tbl>
    <w:p w:rsidR="00916FF8" w:rsidRDefault="00916FF8">
      <w:pPr>
        <w:pStyle w:val="Ruller3"/>
        <w:rPr>
          <w:rtl/>
        </w:rPr>
      </w:pPr>
    </w:p>
    <w:tbl>
      <w:tblPr>
        <w:bidiVisual/>
        <w:tblW w:w="8364" w:type="dxa"/>
        <w:tblLayout w:type="fixed"/>
        <w:tblLook w:val="0000" w:firstRow="0" w:lastRow="0" w:firstColumn="0" w:lastColumn="0" w:noHBand="0" w:noVBand="0"/>
      </w:tblPr>
      <w:tblGrid>
        <w:gridCol w:w="3210"/>
        <w:gridCol w:w="5154"/>
      </w:tblGrid>
      <w:tr w:rsidR="0083345F" w:rsidTr="00DD6306">
        <w:trPr>
          <w:trHeight w:val="287"/>
        </w:trPr>
        <w:tc>
          <w:tcPr>
            <w:tcW w:w="3261" w:type="dxa"/>
          </w:tcPr>
          <w:p w:rsidR="0083345F" w:rsidRPr="00E75223" w:rsidRDefault="00D65674" w:rsidP="00DD6306">
            <w:pPr>
              <w:pStyle w:val="BodyRuller"/>
              <w:rPr>
                <w:rFonts w:ascii="David" w:hAnsi="David"/>
              </w:rPr>
            </w:pPr>
            <w:r>
              <w:rPr>
                <w:rFonts w:ascii="David" w:hAnsi="David"/>
                <w:rtl/>
              </w:rPr>
              <w:t>המשיב</w:t>
            </w:r>
            <w:r w:rsidR="00BE2247">
              <w:rPr>
                <w:rFonts w:ascii="David" w:hAnsi="David" w:hint="cs"/>
                <w:rtl/>
              </w:rPr>
              <w:t>ה</w:t>
            </w:r>
            <w:r>
              <w:rPr>
                <w:rFonts w:ascii="David" w:hAnsi="David"/>
                <w:rtl/>
              </w:rPr>
              <w:t>:</w:t>
            </w:r>
          </w:p>
        </w:tc>
        <w:tc>
          <w:tcPr>
            <w:tcW w:w="5239" w:type="dxa"/>
          </w:tcPr>
          <w:p w:rsidR="0083345F" w:rsidRDefault="00D65674" w:rsidP="00DD6306">
            <w:pPr>
              <w:pStyle w:val="BodyRuller"/>
            </w:pPr>
            <w:r>
              <w:rPr>
                <w:rtl/>
              </w:rPr>
              <w:t>מדינת ישראל</w:t>
            </w:r>
          </w:p>
        </w:tc>
      </w:tr>
    </w:tbl>
    <w:p w:rsidR="0083345F" w:rsidRPr="00997ED4" w:rsidRDefault="0083345F">
      <w:pPr>
        <w:pStyle w:val="Ruller3"/>
        <w:rPr>
          <w:sz w:val="12"/>
          <w:szCs w:val="18"/>
        </w:rPr>
      </w:pPr>
    </w:p>
    <w:tbl>
      <w:tblPr>
        <w:bidiVisual/>
        <w:tblW w:w="0" w:type="auto"/>
        <w:tblInd w:w="3209" w:type="dxa"/>
        <w:tblLook w:val="0000" w:firstRow="0" w:lastRow="0" w:firstColumn="0" w:lastColumn="0" w:noHBand="0" w:noVBand="0"/>
      </w:tblPr>
      <w:tblGrid>
        <w:gridCol w:w="5103"/>
      </w:tblGrid>
      <w:tr w:rsidR="00036227" w:rsidTr="00CA1444">
        <w:tc>
          <w:tcPr>
            <w:tcW w:w="5103" w:type="dxa"/>
          </w:tcPr>
          <w:p w:rsidR="00916FF8" w:rsidRPr="00265F6E" w:rsidRDefault="00D65674" w:rsidP="00BE2247">
            <w:pPr>
              <w:pStyle w:val="BodyRuller"/>
              <w:jc w:val="both"/>
              <w:rPr>
                <w:sz w:val="24"/>
                <w:szCs w:val="24"/>
                <w:rtl/>
              </w:rPr>
            </w:pPr>
            <w:r>
              <w:rPr>
                <w:sz w:val="24"/>
                <w:szCs w:val="24"/>
                <w:rtl/>
              </w:rPr>
              <w:t xml:space="preserve">בקשת רשות ערעור על </w:t>
            </w:r>
            <w:r w:rsidR="00BE2247">
              <w:rPr>
                <w:rFonts w:hint="cs"/>
                <w:sz w:val="24"/>
                <w:szCs w:val="24"/>
                <w:rtl/>
              </w:rPr>
              <w:t>פסק דינו</w:t>
            </w:r>
            <w:r>
              <w:rPr>
                <w:sz w:val="24"/>
                <w:szCs w:val="24"/>
                <w:rtl/>
              </w:rPr>
              <w:t xml:space="preserve"> </w:t>
            </w:r>
            <w:r w:rsidR="00511278">
              <w:rPr>
                <w:rFonts w:hint="cs"/>
                <w:sz w:val="24"/>
                <w:szCs w:val="24"/>
                <w:rtl/>
              </w:rPr>
              <w:t xml:space="preserve">של </w:t>
            </w:r>
            <w:r>
              <w:rPr>
                <w:sz w:val="24"/>
                <w:szCs w:val="24"/>
                <w:rtl/>
              </w:rPr>
              <w:t>בית המשפט המחוזי תל אביב-יפו ב</w:t>
            </w:r>
            <w:r w:rsidR="00BE2247">
              <w:rPr>
                <w:rFonts w:hint="cs"/>
                <w:sz w:val="24"/>
                <w:szCs w:val="24"/>
                <w:rtl/>
              </w:rPr>
              <w:t>-</w:t>
            </w:r>
            <w:r>
              <w:rPr>
                <w:sz w:val="24"/>
                <w:szCs w:val="24"/>
                <w:rtl/>
              </w:rPr>
              <w:t>ע</w:t>
            </w:r>
            <w:r w:rsidR="00BE2247">
              <w:rPr>
                <w:rFonts w:hint="cs"/>
                <w:sz w:val="24"/>
                <w:szCs w:val="24"/>
                <w:rtl/>
              </w:rPr>
              <w:t>"</w:t>
            </w:r>
            <w:r w:rsidR="00BE2247">
              <w:rPr>
                <w:sz w:val="24"/>
                <w:szCs w:val="24"/>
                <w:rtl/>
              </w:rPr>
              <w:t xml:space="preserve">פ  </w:t>
            </w:r>
            <w:r>
              <w:rPr>
                <w:sz w:val="24"/>
                <w:szCs w:val="24"/>
                <w:rtl/>
              </w:rPr>
              <w:t>23260-01-19</w:t>
            </w:r>
            <w:r w:rsidR="00BE2247">
              <w:rPr>
                <w:rFonts w:hint="cs"/>
                <w:sz w:val="24"/>
                <w:szCs w:val="24"/>
                <w:rtl/>
              </w:rPr>
              <w:t xml:space="preserve"> </w:t>
            </w:r>
            <w:r w:rsidR="00BE2247">
              <w:rPr>
                <w:sz w:val="24"/>
                <w:szCs w:val="24"/>
                <w:rtl/>
              </w:rPr>
              <w:t>מיום 23.09.2019</w:t>
            </w:r>
            <w:r w:rsidR="00BE2247">
              <w:rPr>
                <w:rFonts w:hint="cs"/>
                <w:sz w:val="24"/>
                <w:szCs w:val="24"/>
                <w:rtl/>
              </w:rPr>
              <w:t xml:space="preserve"> שניתן על ידי השופטת העמיתה מ' דיסקין והשופטים: מ' לוי ו-ג' רביד</w:t>
            </w:r>
          </w:p>
        </w:tc>
      </w:tr>
    </w:tbl>
    <w:p w:rsidR="00916FF8" w:rsidRPr="00997ED4" w:rsidRDefault="00916FF8">
      <w:pPr>
        <w:pStyle w:val="Ruller3"/>
        <w:rPr>
          <w:sz w:val="16"/>
          <w:szCs w:val="22"/>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2423"/>
        <w:gridCol w:w="2710"/>
      </w:tblGrid>
      <w:tr w:rsidR="008C2F11" w:rsidTr="00D00B1D">
        <w:tc>
          <w:tcPr>
            <w:tcW w:w="3212" w:type="dxa"/>
            <w:tcBorders>
              <w:top w:val="nil"/>
              <w:left w:val="nil"/>
              <w:bottom w:val="nil"/>
              <w:right w:val="nil"/>
            </w:tcBorders>
          </w:tcPr>
          <w:p w:rsidR="008C2F11" w:rsidRPr="00265F6E" w:rsidRDefault="008C2F11">
            <w:pPr>
              <w:pStyle w:val="BodyRuller"/>
              <w:rPr>
                <w:sz w:val="24"/>
                <w:szCs w:val="24"/>
              </w:rPr>
            </w:pPr>
            <w:r w:rsidRPr="00265F6E">
              <w:rPr>
                <w:sz w:val="24"/>
                <w:szCs w:val="24"/>
                <w:rtl/>
              </w:rPr>
              <w:t>תאריך הישיבה:</w:t>
            </w:r>
          </w:p>
        </w:tc>
        <w:tc>
          <w:tcPr>
            <w:tcW w:w="2409" w:type="dxa"/>
            <w:tcBorders>
              <w:top w:val="nil"/>
              <w:left w:val="nil"/>
              <w:bottom w:val="nil"/>
              <w:right w:val="nil"/>
            </w:tcBorders>
          </w:tcPr>
          <w:p w:rsidR="008C2F11" w:rsidRDefault="00D65674">
            <w:pPr>
              <w:pStyle w:val="BodyRuller"/>
              <w:rPr>
                <w:rtl/>
              </w:rPr>
            </w:pPr>
            <w:r>
              <w:rPr>
                <w:sz w:val="24"/>
                <w:szCs w:val="24"/>
                <w:rtl/>
              </w:rPr>
              <w:t>י"ז באדר התשפ"א</w:t>
            </w:r>
            <w:r w:rsidR="008C2F11">
              <w:t xml:space="preserve">       </w:t>
            </w:r>
          </w:p>
        </w:tc>
        <w:tc>
          <w:tcPr>
            <w:tcW w:w="2694" w:type="dxa"/>
            <w:tcBorders>
              <w:top w:val="nil"/>
              <w:left w:val="nil"/>
              <w:bottom w:val="nil"/>
              <w:right w:val="nil"/>
            </w:tcBorders>
          </w:tcPr>
          <w:p w:rsidR="008C2F11" w:rsidRDefault="00D65674">
            <w:pPr>
              <w:pStyle w:val="BodyRuller"/>
              <w:rPr>
                <w:sz w:val="24"/>
                <w:szCs w:val="24"/>
                <w:rtl/>
              </w:rPr>
            </w:pPr>
            <w:r>
              <w:t>(01.03.2021)</w:t>
            </w:r>
            <w:r w:rsidR="00200D6B">
              <w:t xml:space="preserve"> </w:t>
            </w:r>
          </w:p>
        </w:tc>
      </w:tr>
    </w:tbl>
    <w:p w:rsidR="00916FF8" w:rsidRPr="00997ED4" w:rsidRDefault="00916FF8">
      <w:pPr>
        <w:pStyle w:val="Ruller3"/>
        <w:rPr>
          <w:sz w:val="12"/>
          <w:szCs w:val="18"/>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2"/>
        <w:gridCol w:w="5151"/>
      </w:tblGrid>
      <w:tr w:rsidR="00036227" w:rsidTr="00D00B1D">
        <w:tc>
          <w:tcPr>
            <w:tcW w:w="3257" w:type="dxa"/>
            <w:tcBorders>
              <w:top w:val="nil"/>
              <w:left w:val="nil"/>
              <w:bottom w:val="nil"/>
              <w:right w:val="nil"/>
            </w:tcBorders>
          </w:tcPr>
          <w:p w:rsidR="00036227" w:rsidRDefault="00D65674">
            <w:pPr>
              <w:pStyle w:val="BodyRuller"/>
            </w:pPr>
            <w:r>
              <w:rPr>
                <w:rtl/>
              </w:rPr>
              <w:t>בשם המבקש:</w:t>
            </w:r>
          </w:p>
        </w:tc>
        <w:tc>
          <w:tcPr>
            <w:tcW w:w="5238" w:type="dxa"/>
            <w:tcBorders>
              <w:top w:val="nil"/>
              <w:left w:val="nil"/>
              <w:bottom w:val="nil"/>
              <w:right w:val="nil"/>
            </w:tcBorders>
          </w:tcPr>
          <w:p w:rsidR="00BE2247" w:rsidRDefault="00D65674" w:rsidP="00BE2247">
            <w:pPr>
              <w:pStyle w:val="BodyRuller"/>
              <w:rPr>
                <w:rtl/>
              </w:rPr>
            </w:pPr>
            <w:r>
              <w:rPr>
                <w:rtl/>
              </w:rPr>
              <w:t xml:space="preserve">עו"ד </w:t>
            </w:r>
            <w:r w:rsidR="00BE2247">
              <w:rPr>
                <w:rFonts w:hint="cs"/>
                <w:rtl/>
              </w:rPr>
              <w:t xml:space="preserve">בעז </w:t>
            </w:r>
            <w:r>
              <w:rPr>
                <w:rtl/>
              </w:rPr>
              <w:t>בן צור</w:t>
            </w:r>
            <w:r w:rsidR="00BE2247">
              <w:rPr>
                <w:rFonts w:hint="cs"/>
                <w:rtl/>
              </w:rPr>
              <w:t xml:space="preserve">; עו"ד דקלה </w:t>
            </w:r>
            <w:proofErr w:type="spellStart"/>
            <w:r w:rsidR="00BE2247">
              <w:rPr>
                <w:rFonts w:hint="cs"/>
                <w:rtl/>
              </w:rPr>
              <w:t>סירקיס</w:t>
            </w:r>
            <w:proofErr w:type="spellEnd"/>
            <w:r w:rsidR="00BE2247">
              <w:rPr>
                <w:rFonts w:hint="cs"/>
                <w:rtl/>
              </w:rPr>
              <w:t xml:space="preserve">; </w:t>
            </w:r>
          </w:p>
          <w:p w:rsidR="00036227" w:rsidRDefault="00BE2247" w:rsidP="00BE2247">
            <w:pPr>
              <w:pStyle w:val="BodyRuller"/>
            </w:pPr>
            <w:r>
              <w:rPr>
                <w:rFonts w:hint="cs"/>
                <w:rtl/>
              </w:rPr>
              <w:t>עו"ד כרמל בן צור</w:t>
            </w:r>
            <w:r w:rsidR="00102309">
              <w:rPr>
                <w:rFonts w:hint="cs"/>
                <w:rtl/>
              </w:rPr>
              <w:t>; עו"ד עידן סגר</w:t>
            </w:r>
            <w:bookmarkStart w:id="1" w:name="_GoBack"/>
            <w:bookmarkEnd w:id="1"/>
          </w:p>
        </w:tc>
      </w:tr>
    </w:tbl>
    <w:p w:rsidR="00916FF8" w:rsidRDefault="00916FF8">
      <w:pPr>
        <w:pStyle w:val="Ruller3"/>
      </w:pPr>
    </w:p>
    <w:tbl>
      <w:tblPr>
        <w:bidiVisual/>
        <w:tblW w:w="836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5153"/>
      </w:tblGrid>
      <w:tr w:rsidR="00036227" w:rsidTr="00D00B1D">
        <w:tc>
          <w:tcPr>
            <w:tcW w:w="3257" w:type="dxa"/>
            <w:tcBorders>
              <w:top w:val="nil"/>
              <w:left w:val="nil"/>
              <w:bottom w:val="nil"/>
              <w:right w:val="nil"/>
            </w:tcBorders>
          </w:tcPr>
          <w:p w:rsidR="00036227" w:rsidRDefault="00D65674">
            <w:pPr>
              <w:pStyle w:val="BodyRuller"/>
            </w:pPr>
            <w:r>
              <w:rPr>
                <w:rtl/>
              </w:rPr>
              <w:t>בשם המשיב</w:t>
            </w:r>
            <w:r w:rsidR="00BE2247">
              <w:rPr>
                <w:rFonts w:hint="cs"/>
                <w:rtl/>
              </w:rPr>
              <w:t>ה</w:t>
            </w:r>
            <w:r>
              <w:rPr>
                <w:rtl/>
              </w:rPr>
              <w:t>:</w:t>
            </w:r>
          </w:p>
        </w:tc>
        <w:tc>
          <w:tcPr>
            <w:tcW w:w="5238" w:type="dxa"/>
            <w:tcBorders>
              <w:top w:val="nil"/>
              <w:left w:val="nil"/>
              <w:bottom w:val="nil"/>
              <w:right w:val="nil"/>
            </w:tcBorders>
          </w:tcPr>
          <w:p w:rsidR="00036227" w:rsidRDefault="00D65674" w:rsidP="00BE2247">
            <w:pPr>
              <w:pStyle w:val="BodyRuller"/>
            </w:pPr>
            <w:r>
              <w:rPr>
                <w:rtl/>
              </w:rPr>
              <w:t xml:space="preserve">עו"ד </w:t>
            </w:r>
            <w:r w:rsidR="00BE2247">
              <w:rPr>
                <w:rFonts w:hint="cs"/>
                <w:rtl/>
              </w:rPr>
              <w:t xml:space="preserve">נעמי גרנות; עו"ד נילי </w:t>
            </w:r>
            <w:proofErr w:type="spellStart"/>
            <w:r w:rsidR="00BE2247">
              <w:rPr>
                <w:rFonts w:hint="cs"/>
                <w:rtl/>
              </w:rPr>
              <w:t>פוינקלשטיין</w:t>
            </w:r>
            <w:proofErr w:type="spellEnd"/>
            <w:r w:rsidR="00BE2247">
              <w:rPr>
                <w:rFonts w:hint="cs"/>
                <w:rtl/>
              </w:rPr>
              <w:t xml:space="preserve"> </w:t>
            </w:r>
          </w:p>
        </w:tc>
      </w:tr>
    </w:tbl>
    <w:p w:rsidR="00BE2247" w:rsidRDefault="00BE2247">
      <w:pPr>
        <w:tabs>
          <w:tab w:val="left" w:pos="2552"/>
        </w:tabs>
        <w:rPr>
          <w:rtl/>
        </w:rPr>
      </w:pPr>
    </w:p>
    <w:p w:rsidR="00892B63" w:rsidRDefault="00892B63">
      <w:pPr>
        <w:tabs>
          <w:tab w:val="left" w:pos="2552"/>
        </w:tabs>
        <w:rPr>
          <w:rtl/>
        </w:rPr>
      </w:pPr>
    </w:p>
    <w:p w:rsidR="00892B63" w:rsidRPr="00BE2247" w:rsidRDefault="00892B63">
      <w:pPr>
        <w:tabs>
          <w:tab w:val="left" w:pos="2552"/>
        </w:tabs>
      </w:pPr>
    </w:p>
    <w:tbl>
      <w:tblPr>
        <w:bidiVisual/>
        <w:tblW w:w="8363" w:type="dxa"/>
        <w:tblLook w:val="0000" w:firstRow="0" w:lastRow="0" w:firstColumn="0" w:lastColumn="0" w:noHBand="0" w:noVBand="0"/>
      </w:tblPr>
      <w:tblGrid>
        <w:gridCol w:w="8363"/>
      </w:tblGrid>
      <w:tr w:rsidR="00036227" w:rsidTr="00D00B1D">
        <w:tc>
          <w:tcPr>
            <w:tcW w:w="9837" w:type="dxa"/>
          </w:tcPr>
          <w:p w:rsidR="00916FF8" w:rsidRDefault="00D65674">
            <w:pPr>
              <w:pStyle w:val="DocumentHead"/>
            </w:pPr>
            <w:bookmarkStart w:id="2" w:name="secretary"/>
            <w:bookmarkStart w:id="3" w:name="BeginProtocol"/>
            <w:bookmarkEnd w:id="2"/>
            <w:bookmarkEnd w:id="3"/>
            <w:r>
              <w:rPr>
                <w:rtl/>
              </w:rPr>
              <w:t>פסק-דין</w:t>
            </w:r>
          </w:p>
        </w:tc>
      </w:tr>
    </w:tbl>
    <w:p w:rsidR="0065522F" w:rsidRDefault="0065522F">
      <w:pPr>
        <w:pStyle w:val="BODYVERDICT"/>
      </w:pPr>
    </w:p>
    <w:p w:rsidR="00916FF8" w:rsidRPr="00BE2247" w:rsidRDefault="00BE2247">
      <w:pPr>
        <w:pStyle w:val="BODYVERDICT"/>
        <w:rPr>
          <w:rFonts w:cs="Miriam"/>
          <w:sz w:val="24"/>
          <w:szCs w:val="24"/>
          <w:rtl/>
        </w:rPr>
      </w:pPr>
      <w:bookmarkStart w:id="4" w:name="Writer_Name"/>
      <w:bookmarkEnd w:id="4"/>
      <w:r>
        <w:rPr>
          <w:rFonts w:cs="Miriam"/>
          <w:sz w:val="24"/>
          <w:szCs w:val="24"/>
          <w:u w:val="single"/>
          <w:rtl/>
        </w:rPr>
        <w:t>השופט י' אלרון</w:t>
      </w:r>
      <w:r>
        <w:rPr>
          <w:rFonts w:cs="Miriam" w:hint="cs"/>
          <w:sz w:val="24"/>
          <w:szCs w:val="24"/>
          <w:rtl/>
        </w:rPr>
        <w:t>:</w:t>
      </w:r>
    </w:p>
    <w:p w:rsidR="000B1478" w:rsidRDefault="000B1478" w:rsidP="00A51FAE">
      <w:pPr>
        <w:pStyle w:val="Ruller40"/>
        <w:rPr>
          <w:rtl/>
        </w:rPr>
      </w:pPr>
      <w:bookmarkStart w:id="5" w:name="Start_Write"/>
      <w:bookmarkEnd w:id="5"/>
    </w:p>
    <w:p w:rsidR="000F3C05" w:rsidRDefault="00997ED4" w:rsidP="00997ED4">
      <w:pPr>
        <w:pStyle w:val="af6"/>
        <w:rPr>
          <w:rtl/>
        </w:rPr>
      </w:pPr>
      <w:r>
        <w:rPr>
          <w:rFonts w:hint="cs"/>
          <w:rtl/>
        </w:rPr>
        <w:t xml:space="preserve">האם ניתן </w:t>
      </w:r>
      <w:r w:rsidR="000F3C05">
        <w:rPr>
          <w:rFonts w:hint="cs"/>
          <w:rtl/>
        </w:rPr>
        <w:t>להרשיע נאשם בעבירת מרמה והפרת אמונים של עובד ציבור בשל דפוס התנהגות חוזר ונשנה שנהג בו, אף אם כל מעשה ומעשה שביצע</w:t>
      </w:r>
      <w:r>
        <w:rPr>
          <w:rFonts w:hint="cs"/>
          <w:rtl/>
        </w:rPr>
        <w:t xml:space="preserve"> </w:t>
      </w:r>
      <w:r>
        <w:rPr>
          <w:rtl/>
        </w:rPr>
        <w:softHyphen/>
        <w:t>–</w:t>
      </w:r>
      <w:r w:rsidR="000F3C05">
        <w:rPr>
          <w:rFonts w:hint="cs"/>
          <w:rtl/>
        </w:rPr>
        <w:t xml:space="preserve"> כש</w:t>
      </w:r>
      <w:r>
        <w:rPr>
          <w:rFonts w:hint="cs"/>
          <w:rtl/>
        </w:rPr>
        <w:t xml:space="preserve">לעצמו </w:t>
      </w:r>
      <w:r>
        <w:rPr>
          <w:rtl/>
        </w:rPr>
        <w:t>–</w:t>
      </w:r>
      <w:r>
        <w:rPr>
          <w:rFonts w:hint="cs"/>
          <w:rtl/>
        </w:rPr>
        <w:t xml:space="preserve"> אינו מגבש עבירה פלילית?</w:t>
      </w:r>
    </w:p>
    <w:p w:rsidR="00997ED4" w:rsidRPr="00997ED4" w:rsidRDefault="00997ED4" w:rsidP="00997ED4">
      <w:pPr>
        <w:pStyle w:val="af6"/>
        <w:rPr>
          <w:rtl/>
        </w:rPr>
      </w:pPr>
      <w:r>
        <w:rPr>
          <w:rFonts w:hint="cs"/>
          <w:rtl/>
        </w:rPr>
        <w:t>זו הסוגיה אשר במוקד בקשת רשות הערעור שלפנינו.</w:t>
      </w:r>
    </w:p>
    <w:p w:rsidR="000F3C05" w:rsidRPr="00E72F27" w:rsidRDefault="000F3C05" w:rsidP="000F3C05">
      <w:pPr>
        <w:pStyle w:val="1"/>
        <w:spacing w:before="360" w:after="360"/>
        <w:rPr>
          <w:rtl/>
        </w:rPr>
      </w:pPr>
      <w:r>
        <w:rPr>
          <w:rFonts w:hint="cs"/>
          <w:rtl/>
        </w:rPr>
        <w:lastRenderedPageBreak/>
        <w:t>רקע</w:t>
      </w:r>
    </w:p>
    <w:p w:rsidR="000F3C05" w:rsidRDefault="000F3C05" w:rsidP="000F3C05">
      <w:pPr>
        <w:pStyle w:val="a"/>
        <w:rPr>
          <w:rtl/>
        </w:rPr>
      </w:pPr>
      <w:r>
        <w:rPr>
          <w:rFonts w:hint="cs"/>
          <w:rtl/>
        </w:rPr>
        <w:t>נגד המבקש, אשר כיהן בתקופה הרלוונטית בשורה של תפקידים בכירים במשטרת ישראל, הוגש כתב אישום המייחס לו עבירת מרמה והפרת אמונים ושלוש עבירות מין בשמונה פרשות שונות.</w:t>
      </w:r>
    </w:p>
    <w:p w:rsidR="000F3C05" w:rsidRDefault="000F3C05" w:rsidP="00997ED4">
      <w:pPr>
        <w:pStyle w:val="af6"/>
        <w:rPr>
          <w:rtl/>
        </w:rPr>
      </w:pPr>
      <w:r>
        <w:rPr>
          <w:rtl/>
        </w:rPr>
        <w:tab/>
      </w:r>
      <w:r w:rsidRPr="006A5F0A">
        <w:rPr>
          <w:rFonts w:ascii="Century" w:hAnsi="Century" w:hint="cs"/>
          <w:rtl/>
        </w:rPr>
        <w:t>בגדר</w:t>
      </w:r>
      <w:r>
        <w:rPr>
          <w:rFonts w:ascii="Century" w:hAnsi="Century" w:cs="Miriam" w:hint="cs"/>
          <w:b/>
          <w:spacing w:val="0"/>
          <w:szCs w:val="24"/>
          <w:rtl/>
        </w:rPr>
        <w:t xml:space="preserve"> </w:t>
      </w:r>
      <w:r w:rsidRPr="000203F2">
        <w:rPr>
          <w:rFonts w:ascii="Century" w:hAnsi="Century" w:cs="Miriam" w:hint="cs"/>
          <w:b/>
          <w:spacing w:val="0"/>
          <w:szCs w:val="24"/>
          <w:rtl/>
        </w:rPr>
        <w:t>חמש הפרשות הראשונות</w:t>
      </w:r>
      <w:r w:rsidRPr="000203F2">
        <w:rPr>
          <w:rFonts w:hint="cs"/>
          <w:rtl/>
        </w:rPr>
        <w:t xml:space="preserve"> </w:t>
      </w:r>
      <w:r>
        <w:rPr>
          <w:rFonts w:hint="cs"/>
          <w:rtl/>
        </w:rPr>
        <w:t>בכתב האישום, וחלק מ</w:t>
      </w:r>
      <w:r w:rsidRPr="000203F2">
        <w:rPr>
          <w:rFonts w:ascii="Century" w:hAnsi="Century" w:cs="Miriam" w:hint="cs"/>
          <w:b/>
          <w:spacing w:val="0"/>
          <w:szCs w:val="24"/>
          <w:rtl/>
        </w:rPr>
        <w:t xml:space="preserve">הפרשה השמינית </w:t>
      </w:r>
      <w:r>
        <w:rPr>
          <w:rFonts w:hint="cs"/>
          <w:rtl/>
        </w:rPr>
        <w:t xml:space="preserve">נטען כי המבקש טיפל מתוקף תפקידו בבקשות שונות של שוטרות </w:t>
      </w:r>
      <w:r>
        <w:rPr>
          <w:rtl/>
        </w:rPr>
        <w:t>–</w:t>
      </w:r>
      <w:r>
        <w:rPr>
          <w:rFonts w:hint="cs"/>
          <w:rtl/>
        </w:rPr>
        <w:t xml:space="preserve"> </w:t>
      </w:r>
      <w:r w:rsidR="00997ED4">
        <w:rPr>
          <w:rFonts w:hint="cs"/>
          <w:rtl/>
        </w:rPr>
        <w:t>ובכלל זה</w:t>
      </w:r>
      <w:r>
        <w:rPr>
          <w:rFonts w:hint="cs"/>
          <w:rtl/>
        </w:rPr>
        <w:t xml:space="preserve"> מעבר ליחידה אחרת, איוש תפקיד, יציאה ללימודים ומימונם </w:t>
      </w:r>
      <w:r>
        <w:rPr>
          <w:rtl/>
        </w:rPr>
        <w:t>–</w:t>
      </w:r>
      <w:r>
        <w:rPr>
          <w:rFonts w:hint="cs"/>
          <w:rtl/>
        </w:rPr>
        <w:t xml:space="preserve"> חרף ניגוד עניינים בו היה מצוי בשל קשרים אינטימיים שניהל </w:t>
      </w:r>
      <w:proofErr w:type="spellStart"/>
      <w:r>
        <w:rPr>
          <w:rFonts w:hint="cs"/>
          <w:rtl/>
        </w:rPr>
        <w:t>עימן</w:t>
      </w:r>
      <w:proofErr w:type="spellEnd"/>
      <w:r>
        <w:rPr>
          <w:rFonts w:hint="cs"/>
          <w:rtl/>
        </w:rPr>
        <w:t xml:space="preserve"> בהסכמתן, אם באותה עת ואם עובר למועד בו הובאו הבקשות לטיפולו. </w:t>
      </w:r>
    </w:p>
    <w:p w:rsidR="00997ED4" w:rsidRDefault="000F3C05" w:rsidP="00997ED4">
      <w:pPr>
        <w:pStyle w:val="af6"/>
        <w:rPr>
          <w:rtl/>
        </w:rPr>
      </w:pPr>
      <w:r>
        <w:rPr>
          <w:rtl/>
        </w:rPr>
        <w:tab/>
      </w:r>
      <w:r>
        <w:rPr>
          <w:rFonts w:hint="cs"/>
          <w:rtl/>
        </w:rPr>
        <w:t xml:space="preserve">בשל מעשי המבקש המתוארים </w:t>
      </w:r>
      <w:r w:rsidR="00997ED4">
        <w:rPr>
          <w:rFonts w:hint="cs"/>
          <w:rtl/>
        </w:rPr>
        <w:t>ב</w:t>
      </w:r>
      <w:r>
        <w:rPr>
          <w:rFonts w:hint="cs"/>
          <w:rtl/>
        </w:rPr>
        <w:t>פרשות אלו</w:t>
      </w:r>
      <w:r w:rsidR="00997ED4">
        <w:rPr>
          <w:rFonts w:hint="cs"/>
          <w:rtl/>
        </w:rPr>
        <w:t>,</w:t>
      </w:r>
      <w:r>
        <w:rPr>
          <w:rFonts w:hint="cs"/>
          <w:rtl/>
        </w:rPr>
        <w:t xml:space="preserve"> ייחס כתב האישום למבקש </w:t>
      </w:r>
      <w:r w:rsidRPr="000203F2">
        <w:rPr>
          <w:rFonts w:ascii="Century" w:hAnsi="Century" w:cs="Miriam" w:hint="cs"/>
          <w:b/>
          <w:spacing w:val="0"/>
          <w:szCs w:val="24"/>
          <w:rtl/>
        </w:rPr>
        <w:t>עבירה אחת</w:t>
      </w:r>
      <w:r w:rsidRPr="000203F2">
        <w:rPr>
          <w:rFonts w:hint="cs"/>
          <w:rtl/>
        </w:rPr>
        <w:t xml:space="preserve"> </w:t>
      </w:r>
      <w:r>
        <w:rPr>
          <w:rFonts w:hint="cs"/>
          <w:rtl/>
        </w:rPr>
        <w:t xml:space="preserve">של מרמה והפרת אמונים של עובד ציבור לפי סעיף 284 לחוק העונשין, </w:t>
      </w:r>
      <w:proofErr w:type="spellStart"/>
      <w:r>
        <w:rPr>
          <w:rFonts w:hint="cs"/>
          <w:rtl/>
        </w:rPr>
        <w:t>התשל"ז</w:t>
      </w:r>
      <w:proofErr w:type="spellEnd"/>
      <w:r>
        <w:rPr>
          <w:rFonts w:ascii="FrankRuehl" w:hint="cs"/>
          <w:rtl/>
        </w:rPr>
        <w:t>–</w:t>
      </w:r>
      <w:r>
        <w:rPr>
          <w:rFonts w:hint="cs"/>
          <w:rtl/>
        </w:rPr>
        <w:t xml:space="preserve">1977 (להלן: </w:t>
      </w:r>
      <w:r w:rsidRPr="000203F2">
        <w:rPr>
          <w:rFonts w:ascii="Century" w:hAnsi="Century" w:cs="Miriam" w:hint="cs"/>
          <w:b/>
          <w:spacing w:val="0"/>
          <w:szCs w:val="24"/>
          <w:rtl/>
        </w:rPr>
        <w:t>חוק העונשין</w:t>
      </w:r>
      <w:r>
        <w:rPr>
          <w:rFonts w:hint="cs"/>
          <w:rtl/>
        </w:rPr>
        <w:t xml:space="preserve">). </w:t>
      </w:r>
    </w:p>
    <w:p w:rsidR="000F3C05" w:rsidRDefault="000F3C05" w:rsidP="00DE7026">
      <w:pPr>
        <w:pStyle w:val="af6"/>
        <w:rPr>
          <w:rtl/>
        </w:rPr>
      </w:pPr>
      <w:r>
        <w:rPr>
          <w:rFonts w:hint="cs"/>
          <w:rtl/>
        </w:rPr>
        <w:t xml:space="preserve">נטען, כי "מעשיו השונים של הנאשם [המבקש </w:t>
      </w:r>
      <w:r>
        <w:rPr>
          <w:rtl/>
        </w:rPr>
        <w:t>–</w:t>
      </w:r>
      <w:r>
        <w:rPr>
          <w:rFonts w:hint="cs"/>
          <w:rtl/>
        </w:rPr>
        <w:t xml:space="preserve"> </w:t>
      </w:r>
      <w:r w:rsidRPr="0064549E">
        <w:rPr>
          <w:rFonts w:ascii="Century" w:hAnsi="Century" w:cs="Miriam" w:hint="cs"/>
          <w:b/>
          <w:spacing w:val="0"/>
          <w:szCs w:val="24"/>
          <w:rtl/>
        </w:rPr>
        <w:t>י' א'</w:t>
      </w:r>
      <w:r>
        <w:rPr>
          <w:rFonts w:hint="cs"/>
          <w:rtl/>
        </w:rPr>
        <w:t xml:space="preserve">], הצטברו לכדי התנהלות כוללת, שהיא בגדר מעשה הפרת אמונים הפוגע בציבור" (סעיף 21 לכתב האישום; עמדה זו של </w:t>
      </w:r>
      <w:r w:rsidR="00DE7026">
        <w:rPr>
          <w:rFonts w:hint="cs"/>
          <w:rtl/>
        </w:rPr>
        <w:t>המשיבה</w:t>
      </w:r>
      <w:r>
        <w:rPr>
          <w:rFonts w:hint="cs"/>
          <w:rtl/>
        </w:rPr>
        <w:t xml:space="preserve"> תכונה להלן: </w:t>
      </w:r>
      <w:r w:rsidRPr="0064549E">
        <w:rPr>
          <w:rFonts w:ascii="Century" w:hAnsi="Century" w:cs="Miriam" w:hint="cs"/>
          <w:b/>
          <w:spacing w:val="0"/>
          <w:szCs w:val="24"/>
          <w:rtl/>
        </w:rPr>
        <w:t>תזת הצבירה</w:t>
      </w:r>
      <w:r>
        <w:rPr>
          <w:rFonts w:hint="cs"/>
          <w:rtl/>
        </w:rPr>
        <w:t>).</w:t>
      </w:r>
    </w:p>
    <w:p w:rsidR="000F3C05" w:rsidRDefault="000F3C05" w:rsidP="000F3C05">
      <w:pPr>
        <w:pStyle w:val="af6"/>
        <w:rPr>
          <w:rtl/>
        </w:rPr>
      </w:pPr>
      <w:r>
        <w:rPr>
          <w:rFonts w:ascii="Century" w:hAnsi="Century" w:cs="Miriam"/>
          <w:b/>
          <w:spacing w:val="0"/>
          <w:szCs w:val="24"/>
          <w:rtl/>
        </w:rPr>
        <w:tab/>
      </w:r>
      <w:r w:rsidRPr="006A5F0A">
        <w:rPr>
          <w:rFonts w:ascii="Century" w:hAnsi="Century" w:hint="cs"/>
          <w:rtl/>
        </w:rPr>
        <w:t>בנוסף, בגדרי</w:t>
      </w:r>
      <w:r w:rsidRPr="006A5F0A">
        <w:rPr>
          <w:rFonts w:hint="cs"/>
          <w:rtl/>
        </w:rPr>
        <w:t xml:space="preserve"> </w:t>
      </w:r>
      <w:r w:rsidRPr="006A5F0A">
        <w:rPr>
          <w:rFonts w:ascii="Century" w:hAnsi="Century" w:cs="Miriam" w:hint="cs"/>
          <w:b/>
          <w:spacing w:val="0"/>
          <w:szCs w:val="24"/>
          <w:rtl/>
        </w:rPr>
        <w:t>הפרשה</w:t>
      </w:r>
      <w:r w:rsidRPr="003F0F6F">
        <w:rPr>
          <w:rFonts w:ascii="Century" w:hAnsi="Century" w:hint="cs"/>
          <w:rtl/>
        </w:rPr>
        <w:t xml:space="preserve"> </w:t>
      </w:r>
      <w:r w:rsidRPr="003F0F6F">
        <w:rPr>
          <w:rFonts w:ascii="Century" w:hAnsi="Century" w:cs="Miriam" w:hint="cs"/>
          <w:b/>
          <w:spacing w:val="0"/>
          <w:szCs w:val="24"/>
          <w:rtl/>
        </w:rPr>
        <w:t>השישית</w:t>
      </w:r>
      <w:r>
        <w:rPr>
          <w:rFonts w:hint="cs"/>
          <w:rtl/>
        </w:rPr>
        <w:t xml:space="preserve">, </w:t>
      </w:r>
      <w:r w:rsidRPr="006A5F0A">
        <w:rPr>
          <w:rFonts w:ascii="Century" w:hAnsi="Century" w:cs="Miriam" w:hint="cs"/>
          <w:b/>
          <w:spacing w:val="0"/>
          <w:szCs w:val="24"/>
          <w:rtl/>
        </w:rPr>
        <w:t>הפרשה</w:t>
      </w:r>
      <w:r>
        <w:rPr>
          <w:rFonts w:hint="cs"/>
          <w:rtl/>
        </w:rPr>
        <w:t xml:space="preserve"> </w:t>
      </w:r>
      <w:r w:rsidRPr="003F0F6F">
        <w:rPr>
          <w:rFonts w:ascii="Century" w:hAnsi="Century" w:cs="Miriam" w:hint="cs"/>
          <w:b/>
          <w:spacing w:val="0"/>
          <w:szCs w:val="24"/>
          <w:rtl/>
        </w:rPr>
        <w:t>השביעית</w:t>
      </w:r>
      <w:r>
        <w:rPr>
          <w:rFonts w:hint="cs"/>
          <w:rtl/>
        </w:rPr>
        <w:t xml:space="preserve"> ו</w:t>
      </w:r>
      <w:r w:rsidRPr="006A5F0A">
        <w:rPr>
          <w:rFonts w:ascii="Century" w:hAnsi="Century" w:cs="Miriam" w:hint="cs"/>
          <w:b/>
          <w:spacing w:val="0"/>
          <w:szCs w:val="24"/>
          <w:rtl/>
        </w:rPr>
        <w:t>הפרשה</w:t>
      </w:r>
      <w:r>
        <w:rPr>
          <w:rFonts w:hint="cs"/>
          <w:rtl/>
        </w:rPr>
        <w:t xml:space="preserve"> </w:t>
      </w:r>
      <w:r w:rsidRPr="003F0F6F">
        <w:rPr>
          <w:rFonts w:ascii="Century" w:hAnsi="Century" w:cs="Miriam" w:hint="cs"/>
          <w:b/>
          <w:spacing w:val="0"/>
          <w:szCs w:val="24"/>
          <w:rtl/>
        </w:rPr>
        <w:t>השמינית</w:t>
      </w:r>
      <w:r>
        <w:rPr>
          <w:rFonts w:hint="cs"/>
          <w:rtl/>
        </w:rPr>
        <w:t xml:space="preserve"> בכתב האישום יוחס למבקש ביצוע עבירות מין כלפי שוטרות הכפופות לו. </w:t>
      </w:r>
    </w:p>
    <w:p w:rsidR="00997ED4" w:rsidRDefault="000F3C05" w:rsidP="00997ED4">
      <w:pPr>
        <w:pStyle w:val="af6"/>
        <w:rPr>
          <w:rtl/>
        </w:rPr>
      </w:pPr>
      <w:r>
        <w:rPr>
          <w:rtl/>
        </w:rPr>
        <w:tab/>
      </w:r>
      <w:r>
        <w:rPr>
          <w:rFonts w:hint="cs"/>
          <w:rtl/>
        </w:rPr>
        <w:t xml:space="preserve">במסגרת </w:t>
      </w:r>
      <w:r w:rsidRPr="006A5F0A">
        <w:rPr>
          <w:rFonts w:ascii="Century" w:hAnsi="Century" w:cs="Miriam" w:hint="cs"/>
          <w:b/>
          <w:spacing w:val="0"/>
          <w:szCs w:val="24"/>
          <w:rtl/>
        </w:rPr>
        <w:t>הפרשה</w:t>
      </w:r>
      <w:r>
        <w:rPr>
          <w:rFonts w:hint="cs"/>
          <w:rtl/>
        </w:rPr>
        <w:t xml:space="preserve"> </w:t>
      </w:r>
      <w:r w:rsidRPr="003F0F6F">
        <w:rPr>
          <w:rFonts w:ascii="Century" w:hAnsi="Century" w:cs="Miriam" w:hint="cs"/>
          <w:b/>
          <w:spacing w:val="0"/>
          <w:szCs w:val="24"/>
          <w:rtl/>
        </w:rPr>
        <w:t>השישית</w:t>
      </w:r>
      <w:r>
        <w:rPr>
          <w:rFonts w:hint="cs"/>
          <w:rtl/>
        </w:rPr>
        <w:t xml:space="preserve"> נטען כי המבקש נישק את השוטרת ו.ו. על שפתיה, תוך שהוא מחדיר לשונו לפיה, בניגוד לרצונה. בשל מעשה זה יוחסה למבקש עבירה של </w:t>
      </w:r>
      <w:r w:rsidRPr="003F0F6F">
        <w:rPr>
          <w:rFonts w:hint="eastAsia"/>
          <w:rtl/>
        </w:rPr>
        <w:t>מעשה</w:t>
      </w:r>
      <w:r w:rsidRPr="003F0F6F">
        <w:rPr>
          <w:rtl/>
        </w:rPr>
        <w:t xml:space="preserve"> </w:t>
      </w:r>
      <w:r w:rsidRPr="003F0F6F">
        <w:rPr>
          <w:rFonts w:hint="eastAsia"/>
          <w:rtl/>
        </w:rPr>
        <w:t>מגונה</w:t>
      </w:r>
      <w:r w:rsidRPr="003F0F6F">
        <w:rPr>
          <w:rtl/>
        </w:rPr>
        <w:t xml:space="preserve">, </w:t>
      </w:r>
      <w:r w:rsidRPr="003F0F6F">
        <w:rPr>
          <w:rFonts w:hint="eastAsia"/>
          <w:rtl/>
        </w:rPr>
        <w:t>לפי</w:t>
      </w:r>
      <w:r w:rsidRPr="003F0F6F">
        <w:rPr>
          <w:rtl/>
        </w:rPr>
        <w:t xml:space="preserve"> </w:t>
      </w:r>
      <w:r w:rsidRPr="003F0F6F">
        <w:rPr>
          <w:rFonts w:hint="eastAsia"/>
          <w:rtl/>
        </w:rPr>
        <w:t>סעיף</w:t>
      </w:r>
      <w:r w:rsidRPr="003F0F6F">
        <w:rPr>
          <w:rtl/>
        </w:rPr>
        <w:t xml:space="preserve"> 348(</w:t>
      </w:r>
      <w:r w:rsidRPr="003F0F6F">
        <w:rPr>
          <w:rFonts w:hint="eastAsia"/>
          <w:rtl/>
        </w:rPr>
        <w:t>ג</w:t>
      </w:r>
      <w:r w:rsidRPr="003F0F6F">
        <w:rPr>
          <w:rtl/>
        </w:rPr>
        <w:t xml:space="preserve">) </w:t>
      </w:r>
      <w:r w:rsidRPr="003F0F6F">
        <w:rPr>
          <w:rFonts w:hint="eastAsia"/>
          <w:rtl/>
        </w:rPr>
        <w:t>לחוק</w:t>
      </w:r>
      <w:r w:rsidRPr="003F0F6F">
        <w:rPr>
          <w:rtl/>
        </w:rPr>
        <w:t xml:space="preserve"> </w:t>
      </w:r>
      <w:r w:rsidRPr="003F0F6F">
        <w:rPr>
          <w:rFonts w:hint="eastAsia"/>
          <w:rtl/>
        </w:rPr>
        <w:t>העונשין</w:t>
      </w:r>
      <w:r w:rsidR="00997ED4">
        <w:rPr>
          <w:rFonts w:hint="cs"/>
          <w:rtl/>
        </w:rPr>
        <w:t>.</w:t>
      </w:r>
    </w:p>
    <w:p w:rsidR="00997ED4" w:rsidRDefault="00997ED4" w:rsidP="00997ED4">
      <w:pPr>
        <w:pStyle w:val="af6"/>
        <w:rPr>
          <w:rtl/>
        </w:rPr>
      </w:pPr>
      <w:r>
        <w:rPr>
          <w:rtl/>
        </w:rPr>
        <w:tab/>
      </w:r>
      <w:r w:rsidR="000F3C05">
        <w:rPr>
          <w:rFonts w:hint="cs"/>
          <w:rtl/>
        </w:rPr>
        <w:t xml:space="preserve">בגדר </w:t>
      </w:r>
      <w:r w:rsidR="000F3C05" w:rsidRPr="006A5F0A">
        <w:rPr>
          <w:rFonts w:ascii="Century" w:hAnsi="Century" w:cs="Miriam" w:hint="cs"/>
          <w:b/>
          <w:spacing w:val="0"/>
          <w:szCs w:val="24"/>
          <w:rtl/>
        </w:rPr>
        <w:t>הפרשה</w:t>
      </w:r>
      <w:r w:rsidR="000F3C05">
        <w:rPr>
          <w:rFonts w:hint="cs"/>
          <w:rtl/>
        </w:rPr>
        <w:t xml:space="preserve"> </w:t>
      </w:r>
      <w:r w:rsidR="000F3C05" w:rsidRPr="003F0F6F">
        <w:rPr>
          <w:rFonts w:ascii="Century" w:hAnsi="Century" w:cs="Miriam" w:hint="cs"/>
          <w:b/>
          <w:spacing w:val="0"/>
          <w:szCs w:val="24"/>
          <w:rtl/>
        </w:rPr>
        <w:t>השביעית</w:t>
      </w:r>
      <w:r w:rsidR="000F3C05">
        <w:rPr>
          <w:rFonts w:hint="cs"/>
          <w:rtl/>
        </w:rPr>
        <w:t xml:space="preserve"> נטען כי המבקש הציע לשוטרת ז.ז. הצעות חוזרות ונשנות בעלות אופי מיני, באמצעות שיחות ומסרונים. בגין מעשה זה יוחסה למבקש עבירה של </w:t>
      </w:r>
      <w:r w:rsidR="000F3C05" w:rsidRPr="003F0F6F">
        <w:rPr>
          <w:rFonts w:hint="eastAsia"/>
          <w:rtl/>
        </w:rPr>
        <w:t>הטרדה</w:t>
      </w:r>
      <w:r w:rsidR="000F3C05" w:rsidRPr="003F0F6F">
        <w:rPr>
          <w:rtl/>
        </w:rPr>
        <w:t xml:space="preserve"> </w:t>
      </w:r>
      <w:r w:rsidR="000F3C05" w:rsidRPr="003F0F6F">
        <w:rPr>
          <w:rFonts w:hint="eastAsia"/>
          <w:rtl/>
        </w:rPr>
        <w:t>מינית</w:t>
      </w:r>
      <w:r w:rsidR="000F3C05" w:rsidRPr="003F0F6F">
        <w:rPr>
          <w:rtl/>
        </w:rPr>
        <w:t xml:space="preserve">, </w:t>
      </w:r>
      <w:r w:rsidR="000F3C05" w:rsidRPr="003F0F6F">
        <w:rPr>
          <w:rFonts w:hint="eastAsia"/>
          <w:rtl/>
        </w:rPr>
        <w:t>לפי</w:t>
      </w:r>
      <w:r w:rsidR="000F3C05" w:rsidRPr="003F0F6F">
        <w:rPr>
          <w:rtl/>
        </w:rPr>
        <w:t xml:space="preserve"> </w:t>
      </w:r>
      <w:r w:rsidR="000F3C05" w:rsidRPr="003F0F6F">
        <w:rPr>
          <w:rFonts w:hint="eastAsia"/>
          <w:rtl/>
        </w:rPr>
        <w:t>סעיפים</w:t>
      </w:r>
      <w:r w:rsidR="000F3C05" w:rsidRPr="003F0F6F">
        <w:rPr>
          <w:rtl/>
        </w:rPr>
        <w:t xml:space="preserve"> 5(</w:t>
      </w:r>
      <w:r w:rsidR="000F3C05" w:rsidRPr="003F0F6F">
        <w:rPr>
          <w:rFonts w:hint="eastAsia"/>
          <w:rtl/>
        </w:rPr>
        <w:t>א</w:t>
      </w:r>
      <w:r w:rsidR="000F3C05" w:rsidRPr="003F0F6F">
        <w:rPr>
          <w:rtl/>
        </w:rPr>
        <w:t xml:space="preserve">) </w:t>
      </w:r>
      <w:r w:rsidR="000F3C05" w:rsidRPr="003F0F6F">
        <w:rPr>
          <w:rFonts w:hint="eastAsia"/>
          <w:rtl/>
        </w:rPr>
        <w:t>ו</w:t>
      </w:r>
      <w:r w:rsidR="000F3C05" w:rsidRPr="003F0F6F">
        <w:rPr>
          <w:rtl/>
        </w:rPr>
        <w:t>-3(</w:t>
      </w:r>
      <w:r w:rsidR="000F3C05" w:rsidRPr="003F0F6F">
        <w:rPr>
          <w:rFonts w:hint="eastAsia"/>
          <w:rtl/>
        </w:rPr>
        <w:t>א</w:t>
      </w:r>
      <w:r w:rsidR="000F3C05" w:rsidRPr="003F0F6F">
        <w:rPr>
          <w:rtl/>
        </w:rPr>
        <w:t>)(6)(</w:t>
      </w:r>
      <w:r w:rsidR="000F3C05" w:rsidRPr="003F0F6F">
        <w:rPr>
          <w:rFonts w:hint="eastAsia"/>
          <w:rtl/>
        </w:rPr>
        <w:t>ג</w:t>
      </w:r>
      <w:r w:rsidR="000F3C05" w:rsidRPr="003F0F6F">
        <w:rPr>
          <w:rtl/>
        </w:rPr>
        <w:t xml:space="preserve">) </w:t>
      </w:r>
      <w:r w:rsidR="000F3C05" w:rsidRPr="003F0F6F">
        <w:rPr>
          <w:rFonts w:hint="eastAsia"/>
          <w:rtl/>
        </w:rPr>
        <w:t>לחוק</w:t>
      </w:r>
      <w:r w:rsidR="000F3C05" w:rsidRPr="003F0F6F">
        <w:rPr>
          <w:rtl/>
        </w:rPr>
        <w:t xml:space="preserve"> </w:t>
      </w:r>
      <w:r w:rsidR="000F3C05" w:rsidRPr="003F0F6F">
        <w:rPr>
          <w:rFonts w:hint="eastAsia"/>
          <w:rtl/>
        </w:rPr>
        <w:t>למניעת</w:t>
      </w:r>
      <w:r w:rsidR="000F3C05" w:rsidRPr="003F0F6F">
        <w:rPr>
          <w:rtl/>
        </w:rPr>
        <w:t xml:space="preserve"> </w:t>
      </w:r>
      <w:r w:rsidR="000F3C05" w:rsidRPr="003F0F6F">
        <w:rPr>
          <w:rFonts w:hint="eastAsia"/>
          <w:rtl/>
        </w:rPr>
        <w:t>הטרדה</w:t>
      </w:r>
      <w:r w:rsidR="000F3C05" w:rsidRPr="003F0F6F">
        <w:rPr>
          <w:rtl/>
        </w:rPr>
        <w:t xml:space="preserve"> </w:t>
      </w:r>
      <w:r w:rsidR="000F3C05" w:rsidRPr="003F0F6F">
        <w:rPr>
          <w:rFonts w:hint="eastAsia"/>
          <w:rtl/>
        </w:rPr>
        <w:t>מינית</w:t>
      </w:r>
      <w:r w:rsidR="000F3C05" w:rsidRPr="003F0F6F">
        <w:rPr>
          <w:rtl/>
        </w:rPr>
        <w:t xml:space="preserve">, </w:t>
      </w:r>
      <w:proofErr w:type="spellStart"/>
      <w:r w:rsidR="000F3C05" w:rsidRPr="003F0F6F">
        <w:rPr>
          <w:rFonts w:hint="eastAsia"/>
          <w:rtl/>
        </w:rPr>
        <w:t>התשנ</w:t>
      </w:r>
      <w:r w:rsidR="000F3C05" w:rsidRPr="003F0F6F">
        <w:rPr>
          <w:rtl/>
        </w:rPr>
        <w:t>"</w:t>
      </w:r>
      <w:r w:rsidR="000F3C05" w:rsidRPr="003F0F6F">
        <w:rPr>
          <w:rFonts w:hint="eastAsia"/>
          <w:rtl/>
        </w:rPr>
        <w:t>ח</w:t>
      </w:r>
      <w:proofErr w:type="spellEnd"/>
      <w:r w:rsidR="000F3C05">
        <w:rPr>
          <w:rFonts w:ascii="FrankRuehl" w:hint="cs"/>
          <w:rtl/>
        </w:rPr>
        <w:t>–</w:t>
      </w:r>
      <w:r w:rsidR="000F3C05">
        <w:rPr>
          <w:rtl/>
        </w:rPr>
        <w:t>1988</w:t>
      </w:r>
      <w:r w:rsidR="000F3C05">
        <w:rPr>
          <w:rFonts w:hint="cs"/>
          <w:rtl/>
        </w:rPr>
        <w:t xml:space="preserve"> (להלן: </w:t>
      </w:r>
      <w:r w:rsidR="000F3C05" w:rsidRPr="000801BE">
        <w:rPr>
          <w:rFonts w:ascii="Century" w:hAnsi="Century" w:cs="Miriam" w:hint="cs"/>
          <w:b/>
          <w:spacing w:val="0"/>
          <w:szCs w:val="24"/>
          <w:rtl/>
        </w:rPr>
        <w:t>החוק למניעת הטרדה מינית</w:t>
      </w:r>
      <w:r w:rsidR="000F3C05">
        <w:rPr>
          <w:rFonts w:hint="cs"/>
          <w:rtl/>
        </w:rPr>
        <w:t>)</w:t>
      </w:r>
      <w:r>
        <w:rPr>
          <w:rFonts w:hint="cs"/>
          <w:rtl/>
        </w:rPr>
        <w:t>.</w:t>
      </w:r>
    </w:p>
    <w:p w:rsidR="000F3C05" w:rsidRDefault="000F3C05" w:rsidP="00997ED4">
      <w:pPr>
        <w:pStyle w:val="af6"/>
        <w:rPr>
          <w:rtl/>
        </w:rPr>
      </w:pPr>
      <w:r>
        <w:rPr>
          <w:rFonts w:hint="cs"/>
          <w:rtl/>
        </w:rPr>
        <w:t>ב</w:t>
      </w:r>
      <w:r w:rsidRPr="006A5F0A">
        <w:rPr>
          <w:rFonts w:ascii="Century" w:hAnsi="Century" w:cs="Miriam" w:hint="cs"/>
          <w:b/>
          <w:spacing w:val="0"/>
          <w:szCs w:val="24"/>
          <w:rtl/>
        </w:rPr>
        <w:t>פרשה</w:t>
      </w:r>
      <w:r>
        <w:rPr>
          <w:rFonts w:hint="cs"/>
          <w:rtl/>
        </w:rPr>
        <w:t xml:space="preserve"> </w:t>
      </w:r>
      <w:r w:rsidRPr="003F0F6F">
        <w:rPr>
          <w:rFonts w:ascii="Century" w:hAnsi="Century" w:cs="Miriam" w:hint="cs"/>
          <w:b/>
          <w:spacing w:val="0"/>
          <w:szCs w:val="24"/>
          <w:rtl/>
        </w:rPr>
        <w:t>השמינית</w:t>
      </w:r>
      <w:r>
        <w:rPr>
          <w:rFonts w:hint="cs"/>
          <w:rtl/>
        </w:rPr>
        <w:t xml:space="preserve"> תואר כי המבקש ניסה לנשק את השוטרת ח.ח. על שפתיה, אך היא הסיטה את ראשה הצידה כדי לחמוק מנשיקתו, וכתוצאה מכך נישקה על פניה, וכי </w:t>
      </w:r>
      <w:r>
        <w:rPr>
          <w:rFonts w:hint="cs"/>
          <w:rtl/>
        </w:rPr>
        <w:lastRenderedPageBreak/>
        <w:t xml:space="preserve">באירוע נוסף נטל המבקש את ידה של ח.ח., הניחה על איבר מינו מעל למכנסיו, ובמקביל חיבקה ונגע באיבר מינה מעל לבגדיה, כל זאת בניגוד לרצונה. לאחר שניסתה ח.ח. להתחמק ממגעו, הוא נישקה בסמוך לשפתיה. </w:t>
      </w:r>
      <w:r w:rsidR="00997ED4">
        <w:rPr>
          <w:rFonts w:hint="cs"/>
          <w:rtl/>
        </w:rPr>
        <w:t>על כך,</w:t>
      </w:r>
      <w:r>
        <w:rPr>
          <w:rFonts w:hint="cs"/>
          <w:rtl/>
        </w:rPr>
        <w:t xml:space="preserve"> יוחסה למבקש עבירה של</w:t>
      </w:r>
      <w:r w:rsidRPr="00F34364">
        <w:rPr>
          <w:rtl/>
        </w:rPr>
        <w:t xml:space="preserve"> </w:t>
      </w:r>
      <w:r w:rsidRPr="00F34364">
        <w:rPr>
          <w:rFonts w:hint="eastAsia"/>
          <w:rtl/>
        </w:rPr>
        <w:t>מעשה</w:t>
      </w:r>
      <w:r w:rsidRPr="00F34364">
        <w:rPr>
          <w:rtl/>
        </w:rPr>
        <w:t xml:space="preserve"> </w:t>
      </w:r>
      <w:r w:rsidRPr="00F34364">
        <w:rPr>
          <w:rFonts w:hint="eastAsia"/>
          <w:rtl/>
        </w:rPr>
        <w:t>מגונה</w:t>
      </w:r>
      <w:r w:rsidRPr="00F34364">
        <w:rPr>
          <w:rtl/>
        </w:rPr>
        <w:t xml:space="preserve">, </w:t>
      </w:r>
      <w:r w:rsidRPr="00F34364">
        <w:rPr>
          <w:rFonts w:hint="eastAsia"/>
          <w:rtl/>
        </w:rPr>
        <w:t>לפי</w:t>
      </w:r>
      <w:r w:rsidRPr="00F34364">
        <w:rPr>
          <w:rtl/>
        </w:rPr>
        <w:t xml:space="preserve"> </w:t>
      </w:r>
      <w:r w:rsidRPr="00F34364">
        <w:rPr>
          <w:rFonts w:hint="eastAsia"/>
          <w:rtl/>
        </w:rPr>
        <w:t>סעיף</w:t>
      </w:r>
      <w:r w:rsidRPr="00F34364">
        <w:rPr>
          <w:rtl/>
        </w:rPr>
        <w:t xml:space="preserve"> 348(</w:t>
      </w:r>
      <w:r w:rsidRPr="00F34364">
        <w:rPr>
          <w:rFonts w:hint="eastAsia"/>
          <w:rtl/>
        </w:rPr>
        <w:t>ה</w:t>
      </w:r>
      <w:r w:rsidRPr="00F34364">
        <w:rPr>
          <w:rtl/>
        </w:rPr>
        <w:t xml:space="preserve">) </w:t>
      </w:r>
      <w:r w:rsidRPr="00F34364">
        <w:rPr>
          <w:rFonts w:hint="eastAsia"/>
          <w:rtl/>
        </w:rPr>
        <w:t>לחוק</w:t>
      </w:r>
      <w:r w:rsidRPr="00F34364">
        <w:rPr>
          <w:rtl/>
        </w:rPr>
        <w:t xml:space="preserve"> </w:t>
      </w:r>
      <w:r w:rsidRPr="00F34364">
        <w:rPr>
          <w:rFonts w:hint="eastAsia"/>
          <w:rtl/>
        </w:rPr>
        <w:t>העונשין</w:t>
      </w:r>
      <w:r>
        <w:rPr>
          <w:rFonts w:hint="cs"/>
          <w:rtl/>
        </w:rPr>
        <w:t>.</w:t>
      </w:r>
      <w:r w:rsidRPr="00F34364">
        <w:rPr>
          <w:rtl/>
        </w:rPr>
        <w:t xml:space="preserve"> </w:t>
      </w:r>
    </w:p>
    <w:p w:rsidR="000F3C05" w:rsidRPr="007C2573" w:rsidRDefault="000F3C05" w:rsidP="000F3C05">
      <w:pPr>
        <w:pStyle w:val="1"/>
        <w:spacing w:before="360" w:after="360"/>
        <w:rPr>
          <w:rtl/>
        </w:rPr>
      </w:pPr>
      <w:r w:rsidRPr="007C2573">
        <w:rPr>
          <w:rFonts w:hint="cs"/>
          <w:rtl/>
        </w:rPr>
        <w:t>פסק דינו של בית משפט השלום</w:t>
      </w:r>
    </w:p>
    <w:p w:rsidR="000F3C05" w:rsidRDefault="000F3C05" w:rsidP="00997ED4">
      <w:pPr>
        <w:pStyle w:val="a"/>
        <w:rPr>
          <w:rtl/>
        </w:rPr>
      </w:pPr>
      <w:r>
        <w:rPr>
          <w:rFonts w:hint="cs"/>
          <w:rtl/>
        </w:rPr>
        <w:t xml:space="preserve">בית משפט השלום (השופט </w:t>
      </w:r>
      <w:r w:rsidRPr="0063387A">
        <w:rPr>
          <w:rFonts w:ascii="Century" w:hAnsi="Century" w:cs="Miriam" w:hint="cs"/>
          <w:b/>
          <w:spacing w:val="0"/>
          <w:szCs w:val="24"/>
          <w:rtl/>
        </w:rPr>
        <w:t>ב' שגיא</w:t>
      </w:r>
      <w:r>
        <w:rPr>
          <w:rFonts w:hint="cs"/>
          <w:rtl/>
        </w:rPr>
        <w:t>)</w:t>
      </w:r>
      <w:r w:rsidR="00997ED4">
        <w:rPr>
          <w:rFonts w:hint="cs"/>
          <w:rtl/>
        </w:rPr>
        <w:t>, בהכרעת דינו המפורטת והמנומקת מיום 24.4.2018,</w:t>
      </w:r>
      <w:r>
        <w:rPr>
          <w:rFonts w:hint="cs"/>
          <w:rtl/>
        </w:rPr>
        <w:t xml:space="preserve"> הרשיע את המבקש בעבירה אחת של מעשה מגונה, לפי סעיף 348(ג) לחוק העונשין, ב</w:t>
      </w:r>
      <w:r w:rsidR="00997ED4">
        <w:rPr>
          <w:rFonts w:hint="cs"/>
          <w:rtl/>
        </w:rPr>
        <w:t>של המ</w:t>
      </w:r>
      <w:r>
        <w:rPr>
          <w:rFonts w:hint="cs"/>
          <w:rtl/>
        </w:rPr>
        <w:t>י</w:t>
      </w:r>
      <w:r w:rsidR="00997ED4">
        <w:rPr>
          <w:rFonts w:hint="cs"/>
          <w:rtl/>
        </w:rPr>
        <w:t>ו</w:t>
      </w:r>
      <w:r>
        <w:rPr>
          <w:rFonts w:hint="cs"/>
          <w:rtl/>
        </w:rPr>
        <w:t>חס ל</w:t>
      </w:r>
      <w:r w:rsidR="00997ED4">
        <w:rPr>
          <w:rFonts w:hint="cs"/>
          <w:rtl/>
        </w:rPr>
        <w:t>ו ב</w:t>
      </w:r>
      <w:r w:rsidRPr="006A5F0A">
        <w:rPr>
          <w:rFonts w:ascii="Century" w:hAnsi="Century" w:cs="Miriam" w:hint="cs"/>
          <w:b/>
          <w:spacing w:val="0"/>
          <w:szCs w:val="24"/>
          <w:rtl/>
        </w:rPr>
        <w:t>פרשה</w:t>
      </w:r>
      <w:r>
        <w:rPr>
          <w:rFonts w:hint="cs"/>
          <w:rtl/>
        </w:rPr>
        <w:t xml:space="preserve"> </w:t>
      </w:r>
      <w:r w:rsidRPr="00FA70E0">
        <w:rPr>
          <w:rFonts w:ascii="Century" w:hAnsi="Century" w:cs="Miriam" w:hint="cs"/>
          <w:b/>
          <w:spacing w:val="0"/>
          <w:szCs w:val="24"/>
          <w:rtl/>
        </w:rPr>
        <w:t>השישית</w:t>
      </w:r>
      <w:r>
        <w:rPr>
          <w:rFonts w:hint="cs"/>
          <w:rtl/>
        </w:rPr>
        <w:t xml:space="preserve">, וזיכה אותו מיתר העבירות שיוחסו לו בכתב האישום. </w:t>
      </w:r>
    </w:p>
    <w:p w:rsidR="000F3C05" w:rsidRDefault="000F3C05" w:rsidP="00997ED4">
      <w:pPr>
        <w:pStyle w:val="a"/>
        <w:rPr>
          <w:rtl/>
        </w:rPr>
      </w:pPr>
      <w:r>
        <w:rPr>
          <w:rFonts w:hint="cs"/>
          <w:rtl/>
        </w:rPr>
        <w:t xml:space="preserve">בשל חשיבות הדברים לענייננו, אעמוד להלן בפירוט על ממצאי העובדה שנקבעו בהכרעת דינו של בית משפט השלום, אשר חילק את הדיון במעשים שיוחסו למבקש בכתב האישום לשתי חטיבות: </w:t>
      </w:r>
      <w:r w:rsidRPr="00133FEA">
        <w:rPr>
          <w:rFonts w:ascii="Century" w:hAnsi="Century" w:cs="Miriam" w:hint="cs"/>
          <w:b/>
          <w:spacing w:val="0"/>
          <w:szCs w:val="24"/>
          <w:rtl/>
        </w:rPr>
        <w:t>חטיבת ניגוד העניינים</w:t>
      </w:r>
      <w:r w:rsidRPr="00133FEA">
        <w:rPr>
          <w:rFonts w:hint="cs"/>
          <w:rtl/>
        </w:rPr>
        <w:t xml:space="preserve"> </w:t>
      </w:r>
      <w:r>
        <w:rPr>
          <w:rFonts w:hint="cs"/>
          <w:rtl/>
        </w:rPr>
        <w:t>(בה נכללות הפרשות 1</w:t>
      </w:r>
      <w:r w:rsidR="00997ED4">
        <w:rPr>
          <w:rtl/>
        </w:rPr>
        <w:softHyphen/>
        <w:t>–</w:t>
      </w:r>
      <w:r w:rsidR="00997ED4">
        <w:rPr>
          <w:rtl/>
        </w:rPr>
        <w:softHyphen/>
      </w:r>
      <w:r>
        <w:rPr>
          <w:rFonts w:hint="cs"/>
          <w:rtl/>
        </w:rPr>
        <w:t>5 וחלק מהפרשה השמינית) ו</w:t>
      </w:r>
      <w:r w:rsidRPr="00133FEA">
        <w:rPr>
          <w:rFonts w:ascii="Century" w:hAnsi="Century" w:cs="Miriam" w:hint="cs"/>
          <w:b/>
          <w:spacing w:val="0"/>
          <w:szCs w:val="24"/>
          <w:rtl/>
        </w:rPr>
        <w:t xml:space="preserve">חטיבת עבירות המין </w:t>
      </w:r>
      <w:r>
        <w:rPr>
          <w:rFonts w:hint="cs"/>
          <w:rtl/>
        </w:rPr>
        <w:t>(בה נכללות פרשות 6</w:t>
      </w:r>
      <w:r w:rsidR="00997ED4">
        <w:rPr>
          <w:rtl/>
        </w:rPr>
        <w:t>–</w:t>
      </w:r>
      <w:r>
        <w:rPr>
          <w:rFonts w:hint="cs"/>
          <w:rtl/>
        </w:rPr>
        <w:t>8).</w:t>
      </w:r>
    </w:p>
    <w:p w:rsidR="000F3C05" w:rsidRDefault="00056379" w:rsidP="00056379">
      <w:pPr>
        <w:pStyle w:val="af6"/>
        <w:rPr>
          <w:rtl/>
        </w:rPr>
      </w:pPr>
      <w:r>
        <w:rPr>
          <w:rFonts w:hint="cs"/>
          <w:rtl/>
        </w:rPr>
        <w:t xml:space="preserve">ראשית יתוארו </w:t>
      </w:r>
      <w:r w:rsidR="000F3C05">
        <w:rPr>
          <w:rFonts w:hint="cs"/>
          <w:rtl/>
        </w:rPr>
        <w:t>ממצאי העובדה שנקבעו בהכרעת דינו של בית משפט השלום באשר למעשים שיוחסו למבקש בגדר הפרשות שנכללו ב</w:t>
      </w:r>
      <w:r w:rsidR="000F3C05" w:rsidRPr="00C71920">
        <w:rPr>
          <w:rFonts w:ascii="Century" w:hAnsi="Century" w:cs="Miriam" w:hint="cs"/>
          <w:b/>
          <w:spacing w:val="0"/>
          <w:szCs w:val="24"/>
          <w:rtl/>
        </w:rPr>
        <w:t>חטיבת ניגוד העניינים</w:t>
      </w:r>
      <w:r w:rsidR="000F3C05">
        <w:rPr>
          <w:rFonts w:hint="cs"/>
          <w:rtl/>
        </w:rPr>
        <w:t>, בהתבסס על התשתית הראייתית שנפרשה בפניו.</w:t>
      </w:r>
    </w:p>
    <w:p w:rsidR="000F3C05" w:rsidRDefault="000F3C05" w:rsidP="000F3C05">
      <w:pPr>
        <w:pStyle w:val="a"/>
        <w:keepNext/>
        <w:rPr>
          <w:rtl/>
        </w:rPr>
      </w:pPr>
      <w:r>
        <w:rPr>
          <w:rFonts w:hint="cs"/>
          <w:rtl/>
        </w:rPr>
        <w:t>אשר ל</w:t>
      </w:r>
      <w:r w:rsidRPr="00C71920">
        <w:rPr>
          <w:rFonts w:ascii="Century" w:hAnsi="Century" w:cs="Miriam" w:hint="cs"/>
          <w:b/>
          <w:spacing w:val="0"/>
          <w:szCs w:val="24"/>
          <w:rtl/>
        </w:rPr>
        <w:t xml:space="preserve">פרשה הראשונה </w:t>
      </w:r>
      <w:r>
        <w:rPr>
          <w:rFonts w:hint="cs"/>
          <w:rtl/>
        </w:rPr>
        <w:t xml:space="preserve">נקבע כי המבקש ערך אמנם לשוטרת א.א. ראיון בעקבות בקשתה לעבור לשרת בתחנת משטרה הקרובה למקום מגוריה, וזאת לאחר שהתקיים ביניהם קשר מיני, אך כי </w:t>
      </w:r>
      <w:r>
        <w:rPr>
          <w:rtl/>
        </w:rPr>
        <w:t>–</w:t>
      </w:r>
      <w:r>
        <w:rPr>
          <w:rFonts w:hint="cs"/>
          <w:rtl/>
        </w:rPr>
        <w:t xml:space="preserve"> </w:t>
      </w:r>
    </w:p>
    <w:p w:rsidR="000F3C05" w:rsidRDefault="000F3C05" w:rsidP="00997ED4">
      <w:pPr>
        <w:pStyle w:val="af2"/>
        <w:keepNext/>
        <w:rPr>
          <w:rtl/>
        </w:rPr>
      </w:pPr>
      <w:r>
        <w:rPr>
          <w:rFonts w:hint="cs"/>
          <w:rtl/>
        </w:rPr>
        <w:t xml:space="preserve">"במקרה דנן מדובר בעוצמת ניגוד עניינים חלשה ביותר, הרחוקה מרחק ניכר מאוד מהמתחם הפלילי. עסקינן בראיון שבוצע כ-3 שנים לאחר מועד סיומו של הקשר המיני, במסגרת המטלות הקבועות והמוגדרות של התפקיד אותו ביצע הנאשם תוך שהוא נכנס לנעליו של קודמו, וזאת מבלי שהוקצו משאבים מיוחדים לעריכתו ומבלי שניתן להשפיע על אחרים. יתרה מכך </w:t>
      </w:r>
      <w:r>
        <w:rPr>
          <w:rtl/>
        </w:rPr>
        <w:t>–</w:t>
      </w:r>
      <w:r>
        <w:rPr>
          <w:rFonts w:hint="cs"/>
          <w:rtl/>
        </w:rPr>
        <w:t xml:space="preserve"> החלטת הנאשם </w:t>
      </w:r>
      <w:r>
        <w:rPr>
          <w:rtl/>
        </w:rPr>
        <w:t>–</w:t>
      </w:r>
      <w:r>
        <w:rPr>
          <w:rFonts w:hint="cs"/>
          <w:rtl/>
        </w:rPr>
        <w:t xml:space="preserve"> שהלכה למעשה דחתה את בקשתה של א.א., הייתה עניינית, תוך שהנאשם מגשים את האינטרס הציבורי עליו הוא הופקד ומחליט את שמחליט בהתאם </w:t>
      </w:r>
      <w:r>
        <w:rPr>
          <w:rFonts w:hint="cs"/>
          <w:rtl/>
        </w:rPr>
        <w:lastRenderedPageBreak/>
        <w:t xml:space="preserve">למדיניות המשטרה" (עמ' </w:t>
      </w:r>
      <w:r w:rsidR="00997ED4">
        <w:rPr>
          <w:rFonts w:hint="cs"/>
          <w:rtl/>
        </w:rPr>
        <w:t>27</w:t>
      </w:r>
      <w:r w:rsidR="00997ED4">
        <w:rPr>
          <w:rtl/>
        </w:rPr>
        <w:t>–</w:t>
      </w:r>
      <w:r w:rsidR="00997ED4">
        <w:rPr>
          <w:rFonts w:hint="cs"/>
          <w:rtl/>
        </w:rPr>
        <w:t>28</w:t>
      </w:r>
      <w:r>
        <w:rPr>
          <w:rFonts w:hint="cs"/>
          <w:rtl/>
        </w:rPr>
        <w:t xml:space="preserve"> להכרעת דינו של בית משפט השלום). </w:t>
      </w:r>
    </w:p>
    <w:p w:rsidR="000F3C05" w:rsidRDefault="000F3C05" w:rsidP="00997ED4">
      <w:pPr>
        <w:pStyle w:val="a"/>
        <w:rPr>
          <w:rtl/>
        </w:rPr>
      </w:pPr>
      <w:r w:rsidRPr="00C71920">
        <w:rPr>
          <w:rFonts w:ascii="Century" w:hAnsi="Century" w:cs="Miriam" w:hint="cs"/>
          <w:b/>
          <w:spacing w:val="0"/>
          <w:szCs w:val="24"/>
          <w:rtl/>
        </w:rPr>
        <w:t>הפרשה השנ</w:t>
      </w:r>
      <w:r w:rsidR="00895777">
        <w:rPr>
          <w:rFonts w:ascii="Century" w:hAnsi="Century" w:cs="Miriam" w:hint="cs"/>
          <w:b/>
          <w:spacing w:val="0"/>
          <w:szCs w:val="24"/>
          <w:rtl/>
        </w:rPr>
        <w:t>י</w:t>
      </w:r>
      <w:r w:rsidRPr="00C71920">
        <w:rPr>
          <w:rFonts w:ascii="Century" w:hAnsi="Century" w:cs="Miriam" w:hint="cs"/>
          <w:b/>
          <w:spacing w:val="0"/>
          <w:szCs w:val="24"/>
          <w:rtl/>
        </w:rPr>
        <w:t>יה</w:t>
      </w:r>
      <w:r w:rsidRPr="00C71920">
        <w:rPr>
          <w:rFonts w:hint="cs"/>
          <w:rtl/>
        </w:rPr>
        <w:t xml:space="preserve"> </w:t>
      </w:r>
      <w:r>
        <w:rPr>
          <w:rFonts w:hint="cs"/>
          <w:rtl/>
        </w:rPr>
        <w:t xml:space="preserve">עסקה בטיפול המבקש בבקשותיה של השוטרת ב.ב., עמה קיים "קשר טלפוני </w:t>
      </w:r>
      <w:proofErr w:type="spellStart"/>
      <w:r>
        <w:rPr>
          <w:rFonts w:hint="cs"/>
          <w:rtl/>
        </w:rPr>
        <w:t>פלרטטני</w:t>
      </w:r>
      <w:proofErr w:type="spellEnd"/>
      <w:r>
        <w:rPr>
          <w:rFonts w:hint="cs"/>
          <w:rtl/>
        </w:rPr>
        <w:t xml:space="preserve">" לאורך תקופה, שבשלב מסוים התפתח לכדי מגע מיני חד פעמי. </w:t>
      </w:r>
      <w:r w:rsidRPr="0087077F">
        <w:rPr>
          <w:rFonts w:hint="eastAsia"/>
          <w:rtl/>
        </w:rPr>
        <w:t>נקבע</w:t>
      </w:r>
      <w:r w:rsidRPr="0087077F">
        <w:rPr>
          <w:rtl/>
        </w:rPr>
        <w:t xml:space="preserve"> </w:t>
      </w:r>
      <w:r w:rsidRPr="0087077F">
        <w:rPr>
          <w:rFonts w:hint="eastAsia"/>
          <w:rtl/>
        </w:rPr>
        <w:t>כי</w:t>
      </w:r>
      <w:r w:rsidRPr="0087077F">
        <w:rPr>
          <w:rtl/>
        </w:rPr>
        <w:t xml:space="preserve"> </w:t>
      </w:r>
      <w:r w:rsidRPr="0087077F">
        <w:rPr>
          <w:rFonts w:hint="eastAsia"/>
          <w:rtl/>
        </w:rPr>
        <w:t>בעוד</w:t>
      </w:r>
      <w:r w:rsidRPr="0087077F">
        <w:rPr>
          <w:rtl/>
        </w:rPr>
        <w:t xml:space="preserve"> </w:t>
      </w:r>
      <w:r w:rsidRPr="0087077F">
        <w:rPr>
          <w:rFonts w:hint="eastAsia"/>
          <w:rtl/>
        </w:rPr>
        <w:t>שלא</w:t>
      </w:r>
      <w:r w:rsidRPr="0087077F">
        <w:rPr>
          <w:rtl/>
        </w:rPr>
        <w:t xml:space="preserve"> </w:t>
      </w:r>
      <w:r w:rsidRPr="0087077F">
        <w:rPr>
          <w:rFonts w:hint="eastAsia"/>
          <w:rtl/>
        </w:rPr>
        <w:t>הוכחה</w:t>
      </w:r>
      <w:r w:rsidRPr="0087077F">
        <w:rPr>
          <w:rtl/>
        </w:rPr>
        <w:t xml:space="preserve"> </w:t>
      </w:r>
      <w:r w:rsidRPr="0087077F">
        <w:rPr>
          <w:rFonts w:hint="eastAsia"/>
          <w:rtl/>
        </w:rPr>
        <w:t>מעורבות</w:t>
      </w:r>
      <w:r w:rsidRPr="0087077F">
        <w:rPr>
          <w:rtl/>
        </w:rPr>
        <w:t xml:space="preserve"> </w:t>
      </w:r>
      <w:r w:rsidRPr="0087077F">
        <w:rPr>
          <w:rFonts w:hint="eastAsia"/>
          <w:rtl/>
        </w:rPr>
        <w:t>המבקש</w:t>
      </w:r>
      <w:r w:rsidRPr="0087077F">
        <w:rPr>
          <w:rtl/>
        </w:rPr>
        <w:t xml:space="preserve"> </w:t>
      </w:r>
      <w:r w:rsidRPr="0087077F">
        <w:rPr>
          <w:rFonts w:hint="eastAsia"/>
          <w:rtl/>
        </w:rPr>
        <w:t>בטיפול</w:t>
      </w:r>
      <w:r w:rsidRPr="0087077F">
        <w:rPr>
          <w:rtl/>
        </w:rPr>
        <w:t xml:space="preserve"> </w:t>
      </w:r>
      <w:r w:rsidRPr="0087077F">
        <w:rPr>
          <w:rFonts w:hint="eastAsia"/>
          <w:rtl/>
        </w:rPr>
        <w:t>בבקשת</w:t>
      </w:r>
      <w:r w:rsidRPr="0087077F">
        <w:rPr>
          <w:rtl/>
        </w:rPr>
        <w:t xml:space="preserve"> </w:t>
      </w:r>
      <w:r w:rsidRPr="0087077F">
        <w:rPr>
          <w:rFonts w:hint="eastAsia"/>
          <w:rtl/>
        </w:rPr>
        <w:t>המעבר</w:t>
      </w:r>
      <w:r>
        <w:rPr>
          <w:rFonts w:hint="cs"/>
          <w:rtl/>
        </w:rPr>
        <w:t xml:space="preserve"> של ב.ב. לתפקיד חוקרת בשנת 2008, כנטען בכתב האישום, הוכח כי המבקש ערך ל</w:t>
      </w:r>
      <w:r w:rsidR="00997ED4">
        <w:rPr>
          <w:rFonts w:hint="cs"/>
          <w:rtl/>
        </w:rPr>
        <w:t>ה</w:t>
      </w:r>
      <w:r>
        <w:rPr>
          <w:rFonts w:hint="cs"/>
          <w:rtl/>
        </w:rPr>
        <w:t xml:space="preserve"> ראיון בנוגע לשיבוץ לתפקיד </w:t>
      </w:r>
      <w:proofErr w:type="spellStart"/>
      <w:r>
        <w:rPr>
          <w:rFonts w:hint="cs"/>
          <w:rtl/>
        </w:rPr>
        <w:t>בימ"ר</w:t>
      </w:r>
      <w:proofErr w:type="spellEnd"/>
      <w:r>
        <w:rPr>
          <w:rFonts w:hint="cs"/>
          <w:rtl/>
        </w:rPr>
        <w:t xml:space="preserve"> או באמ"ן מחוזי, בשנת 2009. </w:t>
      </w:r>
    </w:p>
    <w:p w:rsidR="000F3C05" w:rsidRDefault="000F3C05" w:rsidP="00DB4514">
      <w:pPr>
        <w:pStyle w:val="af6"/>
        <w:rPr>
          <w:rtl/>
        </w:rPr>
      </w:pPr>
      <w:r>
        <w:rPr>
          <w:rtl/>
        </w:rPr>
        <w:tab/>
      </w:r>
      <w:r>
        <w:rPr>
          <w:rFonts w:hint="cs"/>
          <w:rtl/>
        </w:rPr>
        <w:t xml:space="preserve">ביחס לכך </w:t>
      </w:r>
      <w:r w:rsidR="00DB4514">
        <w:rPr>
          <w:rFonts w:hint="cs"/>
          <w:rtl/>
        </w:rPr>
        <w:t>צוין</w:t>
      </w:r>
      <w:r>
        <w:rPr>
          <w:rFonts w:hint="cs"/>
          <w:rtl/>
        </w:rPr>
        <w:t xml:space="preserve">, כי ראוי היה שהמבקש ימשוך ידיו מטיפול בעניינה נוכח אופיו של הקשר שהתקיים בין השניים. יחד עם זאת, נקבע כי החלטת המבקש "אינה מהווה סטייה מהשורה, ונראית על פניה כהחלטה עניינית, העומדת במתחם הסבירות, ומתיישבת עם מדיניותו העקבית בנושא העברות שוטרים" וכי ניגוד העניינים שנוצר הוא "בעוצמה שאינה יכולה להוות תשתית לביסוס עבירה פלילית" (עמ' 43 להכרעת דינו של בית משפט השלום, וראו גם שם, בעמ' </w:t>
      </w:r>
      <w:r w:rsidR="00997ED4">
        <w:rPr>
          <w:rFonts w:hint="cs"/>
          <w:rtl/>
        </w:rPr>
        <w:t>46</w:t>
      </w:r>
      <w:r w:rsidR="00997ED4">
        <w:rPr>
          <w:rtl/>
        </w:rPr>
        <w:t>–</w:t>
      </w:r>
      <w:r w:rsidR="00997ED4">
        <w:rPr>
          <w:rFonts w:hint="cs"/>
          <w:rtl/>
        </w:rPr>
        <w:t>47</w:t>
      </w:r>
      <w:r>
        <w:rPr>
          <w:rFonts w:hint="cs"/>
          <w:rtl/>
        </w:rPr>
        <w:t xml:space="preserve">). </w:t>
      </w:r>
    </w:p>
    <w:p w:rsidR="000F3C05" w:rsidRDefault="000F3C05" w:rsidP="00DB4514">
      <w:pPr>
        <w:pStyle w:val="af6"/>
        <w:rPr>
          <w:rtl/>
        </w:rPr>
      </w:pPr>
      <w:r>
        <w:rPr>
          <w:rtl/>
        </w:rPr>
        <w:tab/>
      </w:r>
      <w:r>
        <w:rPr>
          <w:rFonts w:hint="cs"/>
          <w:rtl/>
        </w:rPr>
        <w:t xml:space="preserve">עוד נקבע, כי המבקש היה מעורב בשיבוצה של ב.ב. לתפקיד עובדת הערכה </w:t>
      </w:r>
      <w:proofErr w:type="spellStart"/>
      <w:r>
        <w:rPr>
          <w:rFonts w:hint="cs"/>
          <w:rtl/>
        </w:rPr>
        <w:t>בימ"ר</w:t>
      </w:r>
      <w:proofErr w:type="spellEnd"/>
      <w:r>
        <w:rPr>
          <w:rFonts w:hint="cs"/>
          <w:rtl/>
        </w:rPr>
        <w:t xml:space="preserve"> (בכך ששוחח עם מפקד </w:t>
      </w:r>
      <w:proofErr w:type="spellStart"/>
      <w:r>
        <w:rPr>
          <w:rFonts w:hint="cs"/>
          <w:rtl/>
        </w:rPr>
        <w:t>הימ"ר</w:t>
      </w:r>
      <w:proofErr w:type="spellEnd"/>
      <w:r>
        <w:rPr>
          <w:rFonts w:hint="cs"/>
          <w:rtl/>
        </w:rPr>
        <w:t xml:space="preserve"> והמליץ לו לבחון את מועמדתה לתפקיד), וזאת כשנתיים לאחר המגע המיני ביניהם. </w:t>
      </w:r>
    </w:p>
    <w:p w:rsidR="000F3C05" w:rsidRDefault="000F3C05" w:rsidP="00DB4514">
      <w:pPr>
        <w:pStyle w:val="af6"/>
        <w:rPr>
          <w:rtl/>
        </w:rPr>
      </w:pPr>
      <w:r>
        <w:rPr>
          <w:rFonts w:hint="cs"/>
          <w:rtl/>
        </w:rPr>
        <w:t xml:space="preserve">ואולם, גם ביחס לכך קבע בית משפט השלום כי אף שמן הראוי היה שהמבקש ימשוך ידיו מהטיפול </w:t>
      </w:r>
      <w:r w:rsidR="00DB4514">
        <w:rPr>
          <w:rFonts w:hint="cs"/>
          <w:rtl/>
        </w:rPr>
        <w:t>בעניינה</w:t>
      </w:r>
      <w:r>
        <w:rPr>
          <w:rFonts w:hint="cs"/>
          <w:rtl/>
        </w:rPr>
        <w:t>, הרי שאין מדובר במצב של ניגוד עניינים בעוצמה מספקת לצורך הרשעתו בפלילים. זאת, בהינתן שהוכח כי הייתה כשירה לביצוע התפקיד, והטיפול בשיבוץ עובדי ההערכה היה חלק מהמטלות שביצע המבקש באופן שוטף, בלי קשר לעניינה הפרטני. מטעם זה נדחתה גם עמדת המשיבה שלפיה מעשה זה של המבקש מהווה "</w:t>
      </w:r>
      <w:proofErr w:type="spellStart"/>
      <w:r>
        <w:rPr>
          <w:rFonts w:hint="cs"/>
          <w:rtl/>
        </w:rPr>
        <w:t>סטיה</w:t>
      </w:r>
      <w:proofErr w:type="spellEnd"/>
      <w:r>
        <w:rPr>
          <w:rFonts w:hint="cs"/>
          <w:rtl/>
        </w:rPr>
        <w:t xml:space="preserve"> מן השורה".</w:t>
      </w:r>
    </w:p>
    <w:p w:rsidR="000F3C05" w:rsidRDefault="00DB4514" w:rsidP="000F3C05">
      <w:pPr>
        <w:pStyle w:val="a"/>
        <w:rPr>
          <w:rtl/>
        </w:rPr>
      </w:pPr>
      <w:r>
        <w:rPr>
          <w:rFonts w:hint="cs"/>
          <w:rtl/>
        </w:rPr>
        <w:t>בהתייחס</w:t>
      </w:r>
      <w:r w:rsidR="000F3C05">
        <w:rPr>
          <w:rFonts w:hint="cs"/>
          <w:rtl/>
        </w:rPr>
        <w:t xml:space="preserve"> ל</w:t>
      </w:r>
      <w:r w:rsidR="000F3C05" w:rsidRPr="00C71920">
        <w:rPr>
          <w:rFonts w:ascii="Century" w:hAnsi="Century" w:cs="Miriam" w:hint="cs"/>
          <w:b/>
          <w:spacing w:val="0"/>
          <w:szCs w:val="24"/>
          <w:rtl/>
        </w:rPr>
        <w:t xml:space="preserve">פרשה השלישית </w:t>
      </w:r>
      <w:r w:rsidR="000F3C05">
        <w:rPr>
          <w:rFonts w:hint="cs"/>
          <w:rtl/>
        </w:rPr>
        <w:t xml:space="preserve">נקבע כי המבקש ערך ראיון לשוטרת ג.ג. לצורך העברתה לתפקיד </w:t>
      </w:r>
      <w:proofErr w:type="spellStart"/>
      <w:r w:rsidR="000F3C05">
        <w:rPr>
          <w:rFonts w:hint="cs"/>
          <w:rtl/>
        </w:rPr>
        <w:t>מינהלי</w:t>
      </w:r>
      <w:proofErr w:type="spellEnd"/>
      <w:r w:rsidR="000F3C05">
        <w:rPr>
          <w:rFonts w:hint="cs"/>
          <w:rtl/>
        </w:rPr>
        <w:t xml:space="preserve"> אחר במחוז, וזאת חודשים ספורים לאחר שקיים עמה יחסי מין, ובכך העמיד עצמו במצב של ניגוד עניינים. </w:t>
      </w:r>
    </w:p>
    <w:p w:rsidR="000F3C05" w:rsidRDefault="000F3C05" w:rsidP="00DB4514">
      <w:pPr>
        <w:pStyle w:val="af6"/>
        <w:rPr>
          <w:rtl/>
        </w:rPr>
      </w:pPr>
      <w:r>
        <w:rPr>
          <w:rtl/>
        </w:rPr>
        <w:tab/>
      </w:r>
      <w:r>
        <w:rPr>
          <w:rFonts w:hint="cs"/>
          <w:rtl/>
        </w:rPr>
        <w:t xml:space="preserve">לצד זאת, נקבע כי החלטת המבקש לאשר את בקשת ההעברה של ג.ג. הייתה עניינית וסבירה, ואף מתבקשת ומוצדקת, לנוכח העובדה שהיחידה בה הועסקה נסגרה, ובשים לב לכך שהמבקש לא היה מעורב בשיבוצה הפרטני. בנסיבות אלה, נקבע גם </w:t>
      </w:r>
      <w:r>
        <w:rPr>
          <w:rFonts w:hint="cs"/>
          <w:rtl/>
        </w:rPr>
        <w:lastRenderedPageBreak/>
        <w:t>בהקשר זה כי "מדובר בעוצמת ניגוד עניינים חלשה ביותר, הרחוקה מרחק ניכר מאוד מהמתחם הפלילי" (עמ' 63 להכרעת דינו של בית משפט השלום).</w:t>
      </w:r>
    </w:p>
    <w:p w:rsidR="000F3C05" w:rsidRDefault="000F3C05" w:rsidP="00DB4514">
      <w:pPr>
        <w:pStyle w:val="a"/>
        <w:rPr>
          <w:rtl/>
        </w:rPr>
      </w:pPr>
      <w:r>
        <w:rPr>
          <w:rFonts w:hint="cs"/>
          <w:rtl/>
        </w:rPr>
        <w:t>אשר ל</w:t>
      </w:r>
      <w:r w:rsidRPr="00C71920">
        <w:rPr>
          <w:rFonts w:ascii="Century" w:hAnsi="Century" w:cs="Miriam" w:hint="cs"/>
          <w:b/>
          <w:spacing w:val="0"/>
          <w:szCs w:val="24"/>
          <w:rtl/>
        </w:rPr>
        <w:t>פרשה הרביעית</w:t>
      </w:r>
      <w:r>
        <w:rPr>
          <w:rFonts w:hint="cs"/>
          <w:rtl/>
        </w:rPr>
        <w:t xml:space="preserve">, נקבע כי המבקש ראיין את השוטרת ד.ד. ואישר את בקשת המעבר שלה למחוז דרום, עוד בטרם נוצר קשר אינטימי ביניהם, ולכן לא נפל פסול במעשיו. יחד עם זאת, הוכח כי בשלב מאוחר יותר, לאחר שהשניים קיימו יחסי מין, שוחח המבקש בטלפון עם קצינת משאבי אנוש בעניין מעברה למחוז המבוקש, מתוך כוונה לזרזו. </w:t>
      </w:r>
    </w:p>
    <w:p w:rsidR="000F3C05" w:rsidRDefault="000F3C05" w:rsidP="000F3C05">
      <w:pPr>
        <w:pStyle w:val="af6"/>
        <w:rPr>
          <w:rtl/>
        </w:rPr>
      </w:pPr>
      <w:r>
        <w:rPr>
          <w:rtl/>
        </w:rPr>
        <w:tab/>
      </w:r>
      <w:r>
        <w:rPr>
          <w:rFonts w:hint="cs"/>
          <w:rtl/>
        </w:rPr>
        <w:t xml:space="preserve">באשר לכך, נקבע כי במועד שיחת הטלפון היה המבקש נתון בניגוד עניינים וראוי היה שיימנע מטיפול בעניין "אם כי מדובר בניגוד עניינים בעוצמה חלשה ביותר, הרחוק מרחק ניכר מאוד מהרף הפלילי" (עמ' 68 להכרעת דינו של בית משפט השלום). </w:t>
      </w:r>
    </w:p>
    <w:p w:rsidR="00D25A13" w:rsidRDefault="000F3C05" w:rsidP="00D25A13">
      <w:pPr>
        <w:pStyle w:val="af6"/>
        <w:rPr>
          <w:rtl/>
        </w:rPr>
      </w:pPr>
      <w:r>
        <w:rPr>
          <w:rtl/>
        </w:rPr>
        <w:tab/>
      </w:r>
      <w:r>
        <w:rPr>
          <w:rFonts w:hint="cs"/>
          <w:rtl/>
        </w:rPr>
        <w:t xml:space="preserve">זאת, </w:t>
      </w:r>
      <w:r w:rsidR="00D25A13">
        <w:rPr>
          <w:rFonts w:hint="cs"/>
          <w:rtl/>
        </w:rPr>
        <w:t>מאחר</w:t>
      </w:r>
      <w:r>
        <w:rPr>
          <w:rFonts w:hint="cs"/>
          <w:rtl/>
        </w:rPr>
        <w:t xml:space="preserve"> ששיחת הטלפון מהווה "פעולה נלווית" לפעולה המרכזית של שיבוצה של ד.ד., אשר אין חולק כי נעשתה כדין, ובנסיבות בהן מן הראוי היה לקדם את הטיפול בעניין מעברה, ש</w:t>
      </w:r>
      <w:r w:rsidR="00D25A13">
        <w:rPr>
          <w:rFonts w:hint="cs"/>
          <w:rtl/>
        </w:rPr>
        <w:t xml:space="preserve">כן </w:t>
      </w:r>
      <w:r>
        <w:rPr>
          <w:rFonts w:hint="cs"/>
          <w:rtl/>
        </w:rPr>
        <w:t xml:space="preserve">הייתה נתונה במצוקה בשל נסיבות אישיות שבגינן נתבקש המעבר מלכתחילה. </w:t>
      </w:r>
    </w:p>
    <w:p w:rsidR="000F3C05" w:rsidRDefault="000F3C05" w:rsidP="00D25A13">
      <w:pPr>
        <w:pStyle w:val="af6"/>
        <w:rPr>
          <w:rtl/>
        </w:rPr>
      </w:pPr>
      <w:r>
        <w:rPr>
          <w:rFonts w:hint="cs"/>
          <w:rtl/>
        </w:rPr>
        <w:t>כמו כן, צוין כי שיחת הטלפון נערכה מול קצינה שלא הייתה כפופה פיקודית למבקש, ו</w:t>
      </w:r>
      <w:r w:rsidR="00D25A13">
        <w:rPr>
          <w:rFonts w:hint="cs"/>
          <w:rtl/>
        </w:rPr>
        <w:t xml:space="preserve">כי </w:t>
      </w:r>
      <w:r>
        <w:rPr>
          <w:rFonts w:hint="cs"/>
          <w:rtl/>
        </w:rPr>
        <w:t xml:space="preserve">הוא לא </w:t>
      </w:r>
      <w:r w:rsidR="00D25A13">
        <w:rPr>
          <w:rFonts w:hint="cs"/>
          <w:rtl/>
        </w:rPr>
        <w:t>כפה</w:t>
      </w:r>
      <w:r>
        <w:rPr>
          <w:rFonts w:hint="cs"/>
          <w:rtl/>
        </w:rPr>
        <w:t xml:space="preserve"> עליה את החלטתו אלא רק </w:t>
      </w:r>
      <w:r w:rsidR="00D25A13">
        <w:rPr>
          <w:rFonts w:hint="cs"/>
          <w:rtl/>
        </w:rPr>
        <w:t xml:space="preserve">ביקש </w:t>
      </w:r>
      <w:r>
        <w:rPr>
          <w:rFonts w:hint="cs"/>
          <w:rtl/>
        </w:rPr>
        <w:t xml:space="preserve">לזרז את ביצוע ההחלטה שנתקבלה זה מכבר. לבסוף הודגש, כי </w:t>
      </w:r>
      <w:r w:rsidR="00D25A13">
        <w:rPr>
          <w:rFonts w:hint="cs"/>
          <w:rtl/>
        </w:rPr>
        <w:t>זו</w:t>
      </w:r>
      <w:r>
        <w:rPr>
          <w:rFonts w:hint="cs"/>
          <w:rtl/>
        </w:rPr>
        <w:t xml:space="preserve"> "עמדה בכל הפרמטרים והתבחינים הנדרשים למעבר שוטר ממחוז למחוז, גם על פי שיטת התביעה" ולכן הטיעון בדבר השפעת שיחת הטלפון על קבלת הבקשה הוא "מרחיק לכת". </w:t>
      </w:r>
    </w:p>
    <w:p w:rsidR="000F3C05" w:rsidRDefault="000F3C05" w:rsidP="00D25A13">
      <w:pPr>
        <w:pStyle w:val="a"/>
        <w:rPr>
          <w:rtl/>
        </w:rPr>
      </w:pPr>
      <w:r>
        <w:rPr>
          <w:rFonts w:hint="cs"/>
          <w:rtl/>
        </w:rPr>
        <w:t>בגדר הדיון ב</w:t>
      </w:r>
      <w:r w:rsidRPr="00C71920">
        <w:rPr>
          <w:rFonts w:ascii="Century" w:hAnsi="Century" w:cs="Miriam" w:hint="cs"/>
          <w:b/>
          <w:spacing w:val="0"/>
          <w:szCs w:val="24"/>
          <w:rtl/>
        </w:rPr>
        <w:t>פרשה החמישית</w:t>
      </w:r>
      <w:r>
        <w:rPr>
          <w:rFonts w:hint="cs"/>
          <w:rtl/>
        </w:rPr>
        <w:t xml:space="preserve">, </w:t>
      </w:r>
      <w:r w:rsidR="00D25A13">
        <w:rPr>
          <w:rFonts w:hint="cs"/>
          <w:rtl/>
        </w:rPr>
        <w:t>צוין</w:t>
      </w:r>
      <w:r>
        <w:rPr>
          <w:rFonts w:hint="cs"/>
          <w:rtl/>
        </w:rPr>
        <w:t xml:space="preserve"> כי מרבית ה"פעולות" שיוחסו למבקש בכתב האישום התיישנו, ובמקרה דנן אין להידרש לראיות לגביהן, שכן הן אינן יכולות לתרום לבירור המחלוקות באשר למעשים שלא התיישנו. </w:t>
      </w:r>
    </w:p>
    <w:p w:rsidR="000F3C05" w:rsidRDefault="000F3C05" w:rsidP="00D25A13">
      <w:pPr>
        <w:pStyle w:val="af6"/>
        <w:rPr>
          <w:rtl/>
        </w:rPr>
      </w:pPr>
      <w:r>
        <w:rPr>
          <w:rtl/>
        </w:rPr>
        <w:tab/>
      </w:r>
      <w:r>
        <w:rPr>
          <w:rFonts w:hint="cs"/>
          <w:rtl/>
        </w:rPr>
        <w:t xml:space="preserve">נקבע, כי "בסופו של יום ושעה שנדמו הלמות תופי המלחמה והתפזר עשן התותחים", </w:t>
      </w:r>
      <w:r w:rsidR="00D25A13">
        <w:rPr>
          <w:rFonts w:hint="cs"/>
          <w:rtl/>
        </w:rPr>
        <w:t xml:space="preserve">כלשון הכרעת הדין, </w:t>
      </w:r>
      <w:r>
        <w:rPr>
          <w:rFonts w:hint="cs"/>
          <w:rtl/>
        </w:rPr>
        <w:t xml:space="preserve">נותרו שלושה מעשים שלא התיישנו, אשר שלושתם לא </w:t>
      </w:r>
      <w:r w:rsidR="00D25A13">
        <w:rPr>
          <w:rFonts w:hint="cs"/>
          <w:rtl/>
        </w:rPr>
        <w:t>מהווים מעשה</w:t>
      </w:r>
      <w:r>
        <w:rPr>
          <w:rFonts w:hint="cs"/>
          <w:rtl/>
        </w:rPr>
        <w:t xml:space="preserve"> בניגוד עניינים. </w:t>
      </w:r>
    </w:p>
    <w:p w:rsidR="000F3C05" w:rsidRDefault="000F3C05" w:rsidP="00D25A13">
      <w:pPr>
        <w:pStyle w:val="af6"/>
        <w:rPr>
          <w:rtl/>
        </w:rPr>
      </w:pPr>
      <w:r>
        <w:rPr>
          <w:rtl/>
        </w:rPr>
        <w:tab/>
      </w:r>
      <w:r w:rsidR="00D25A13">
        <w:rPr>
          <w:rFonts w:hint="cs"/>
          <w:rtl/>
        </w:rPr>
        <w:t>המעשה</w:t>
      </w:r>
      <w:r>
        <w:rPr>
          <w:rFonts w:hint="cs"/>
          <w:rtl/>
        </w:rPr>
        <w:t xml:space="preserve"> הראשו</w:t>
      </w:r>
      <w:r w:rsidR="00D25A13">
        <w:rPr>
          <w:rFonts w:hint="cs"/>
          <w:rtl/>
        </w:rPr>
        <w:t>ן</w:t>
      </w:r>
      <w:r>
        <w:rPr>
          <w:rFonts w:hint="cs"/>
          <w:rtl/>
        </w:rPr>
        <w:t xml:space="preserve"> </w:t>
      </w:r>
      <w:r>
        <w:rPr>
          <w:rtl/>
        </w:rPr>
        <w:t>–</w:t>
      </w:r>
      <w:r w:rsidR="00D25A13">
        <w:rPr>
          <w:rFonts w:hint="cs"/>
          <w:rtl/>
        </w:rPr>
        <w:t xml:space="preserve"> </w:t>
      </w:r>
      <w:r>
        <w:rPr>
          <w:rFonts w:hint="cs"/>
          <w:rtl/>
        </w:rPr>
        <w:t>קיום "שיחת חתך" תקופת</w:t>
      </w:r>
      <w:r w:rsidR="00355F23">
        <w:rPr>
          <w:rFonts w:hint="cs"/>
          <w:rtl/>
        </w:rPr>
        <w:t>ית בחודש פברואר 2012 לשוטרת ה.ה.</w:t>
      </w:r>
      <w:r>
        <w:rPr>
          <w:rFonts w:hint="cs"/>
          <w:rtl/>
        </w:rPr>
        <w:t xml:space="preserve"> עמה קיים המבקש בעבר קשר מיני. ביחס לכך נקבע, כי דובר בשיחה מקצועית </w:t>
      </w:r>
      <w:r>
        <w:rPr>
          <w:rFonts w:hint="cs"/>
          <w:rtl/>
        </w:rPr>
        <w:lastRenderedPageBreak/>
        <w:t xml:space="preserve">שיזמה ה.ה. עצמה, לאחר שראתה כי שוטרים אחרים זומנו לשיחה דומה והיא עצמה לא זומנה. השיחה התקיימה </w:t>
      </w:r>
      <w:r w:rsidRPr="00D25A13">
        <w:rPr>
          <w:rFonts w:ascii="Century" w:hAnsi="Century" w:cs="Miriam" w:hint="cs"/>
          <w:b/>
          <w:spacing w:val="0"/>
          <w:sz w:val="22"/>
          <w:szCs w:val="24"/>
          <w:rtl/>
        </w:rPr>
        <w:t>כ-8 שנים</w:t>
      </w:r>
      <w:r w:rsidRPr="00D25A13">
        <w:rPr>
          <w:rFonts w:hint="cs"/>
          <w:rtl/>
        </w:rPr>
        <w:t xml:space="preserve"> </w:t>
      </w:r>
      <w:r>
        <w:rPr>
          <w:rFonts w:hint="cs"/>
          <w:rtl/>
        </w:rPr>
        <w:t xml:space="preserve">לאחר סיום הקשר המיני, ותכניה היו מקצועיים בלבד. בנסיבות אלה, כך נקבע, עצם השיחה אינו מהווה "פעולה בניגוד עניינים בעלת פוטנציאל להוות בסיס להרשעה בעבירה של מרמה והפרת אמונים" (עמ' 77 להכרעת דינו של בית משפט השלום). </w:t>
      </w:r>
    </w:p>
    <w:p w:rsidR="000F3C05" w:rsidRDefault="000F3C05" w:rsidP="00D25A13">
      <w:pPr>
        <w:pStyle w:val="af6"/>
        <w:rPr>
          <w:rtl/>
        </w:rPr>
      </w:pPr>
      <w:r>
        <w:rPr>
          <w:rtl/>
        </w:rPr>
        <w:tab/>
      </w:r>
      <w:r>
        <w:rPr>
          <w:rFonts w:hint="cs"/>
          <w:rtl/>
        </w:rPr>
        <w:t xml:space="preserve">המעשה השני </w:t>
      </w:r>
      <w:r>
        <w:rPr>
          <w:rtl/>
        </w:rPr>
        <w:t>–</w:t>
      </w:r>
      <w:r w:rsidR="00D25A13">
        <w:rPr>
          <w:rFonts w:hint="cs"/>
          <w:rtl/>
        </w:rPr>
        <w:t xml:space="preserve"> </w:t>
      </w:r>
      <w:r>
        <w:rPr>
          <w:rFonts w:hint="cs"/>
          <w:rtl/>
        </w:rPr>
        <w:t>ניסיון המבקש לנשק את ה.ה. בתום אותה שיחה, מבלי שהי</w:t>
      </w:r>
      <w:r w:rsidR="00851ADE">
        <w:rPr>
          <w:rFonts w:hint="cs"/>
          <w:rtl/>
        </w:rPr>
        <w:t>א רצתה בכך או הסכימה לכך. נקבע,</w:t>
      </w:r>
      <w:r>
        <w:rPr>
          <w:rFonts w:hint="cs"/>
          <w:rtl/>
        </w:rPr>
        <w:t xml:space="preserve"> כי מעשה זה "אינו 'מתכתב' ולו בדוחק עם העבירה היחידה המיוחסת לנאשם </w:t>
      </w:r>
      <w:r w:rsidR="00D25A13">
        <w:rPr>
          <w:rFonts w:hint="cs"/>
          <w:rtl/>
        </w:rPr>
        <w:t xml:space="preserve">[למבקש </w:t>
      </w:r>
      <w:r w:rsidR="00D25A13">
        <w:rPr>
          <w:rtl/>
        </w:rPr>
        <w:t>–</w:t>
      </w:r>
      <w:r w:rsidR="00D25A13">
        <w:rPr>
          <w:rFonts w:hint="cs"/>
          <w:rtl/>
        </w:rPr>
        <w:t xml:space="preserve"> </w:t>
      </w:r>
      <w:r w:rsidR="00D25A13" w:rsidRPr="00D25A13">
        <w:rPr>
          <w:rFonts w:ascii="Century" w:hAnsi="Century" w:cs="Miriam" w:hint="cs"/>
          <w:b/>
          <w:spacing w:val="0"/>
          <w:sz w:val="22"/>
          <w:szCs w:val="24"/>
          <w:rtl/>
        </w:rPr>
        <w:t>י' א'</w:t>
      </w:r>
      <w:r w:rsidR="00D25A13">
        <w:rPr>
          <w:rFonts w:hint="cs"/>
          <w:rtl/>
        </w:rPr>
        <w:t xml:space="preserve">] </w:t>
      </w:r>
      <w:r>
        <w:rPr>
          <w:rFonts w:hint="cs"/>
          <w:rtl/>
        </w:rPr>
        <w:t xml:space="preserve">באישום זה </w:t>
      </w:r>
      <w:r>
        <w:rPr>
          <w:rtl/>
        </w:rPr>
        <w:t>–</w:t>
      </w:r>
      <w:r>
        <w:rPr>
          <w:rFonts w:hint="cs"/>
          <w:rtl/>
        </w:rPr>
        <w:t xml:space="preserve"> היא עבירת מרמה והפרת אמונים". עוד נדחתה עמדת המשיבה לפיה יש לראות באירוע זה "חיזוק" ליתר הפרשות, זאת לנוכח זירת המחלוקת הייחודית בכל פרשה ופרשה מבין הפרשות הנכללות בחטיבת עבירות המין. </w:t>
      </w:r>
    </w:p>
    <w:p w:rsidR="000F3C05" w:rsidRDefault="000F3C05" w:rsidP="00D25A13">
      <w:pPr>
        <w:pStyle w:val="af6"/>
        <w:rPr>
          <w:rtl/>
        </w:rPr>
      </w:pPr>
      <w:r>
        <w:rPr>
          <w:rtl/>
        </w:rPr>
        <w:tab/>
      </w:r>
      <w:r w:rsidR="00D25A13">
        <w:rPr>
          <w:rFonts w:hint="cs"/>
          <w:rtl/>
        </w:rPr>
        <w:t>המעשה</w:t>
      </w:r>
      <w:r>
        <w:rPr>
          <w:rFonts w:hint="cs"/>
          <w:rtl/>
        </w:rPr>
        <w:t xml:space="preserve"> השלישי</w:t>
      </w:r>
      <w:r w:rsidR="00D25A13">
        <w:rPr>
          <w:rFonts w:hint="cs"/>
          <w:rtl/>
        </w:rPr>
        <w:t xml:space="preserve"> </w:t>
      </w:r>
      <w:r w:rsidR="00D25A13">
        <w:rPr>
          <w:rtl/>
        </w:rPr>
        <w:softHyphen/>
        <w:t>–</w:t>
      </w:r>
      <w:r w:rsidR="00D25A13">
        <w:rPr>
          <w:rFonts w:hint="cs"/>
          <w:rtl/>
        </w:rPr>
        <w:t xml:space="preserve"> </w:t>
      </w:r>
      <w:r>
        <w:rPr>
          <w:rFonts w:hint="cs"/>
          <w:rtl/>
        </w:rPr>
        <w:t xml:space="preserve">אישור שעל פי הנטען העניק המבקש </w:t>
      </w:r>
      <w:proofErr w:type="spellStart"/>
      <w:r>
        <w:rPr>
          <w:rFonts w:hint="cs"/>
          <w:rtl/>
        </w:rPr>
        <w:t>לה.ה</w:t>
      </w:r>
      <w:proofErr w:type="spellEnd"/>
      <w:r>
        <w:rPr>
          <w:rFonts w:hint="cs"/>
          <w:rtl/>
        </w:rPr>
        <w:t xml:space="preserve">. לקבלת סיוע כספי למימון לימודי השכלה גבוהה למשך שני סמסטרים בשנת לימודים אחת. נקבע, כי הראיות מלמדות על פרקטיקה נוהגת לפיה בקשות מסוג זה נחתמו על ידי גורמים שונים בלשכת המבקש, לאחר שנבחנו ואושרו על ידי גורמים מקצועיים, ועל כן לא ניתן לקבוע, ברמת הוודאות הנדרשת במשפט פלילי, כי המבקש עצמו בחן את הבקשה ואישרה. משכך סבר בית משפט השלום כי לא ניתן לקבוע שמדובר בפעולה בניגוד עניינים. </w:t>
      </w:r>
    </w:p>
    <w:p w:rsidR="000F3C05" w:rsidRDefault="000F3C05" w:rsidP="00E40F16">
      <w:pPr>
        <w:pStyle w:val="a"/>
        <w:rPr>
          <w:rtl/>
        </w:rPr>
      </w:pPr>
      <w:r w:rsidRPr="00C71920">
        <w:rPr>
          <w:rFonts w:ascii="Century" w:hAnsi="Century" w:cs="Miriam" w:hint="cs"/>
          <w:b/>
          <w:spacing w:val="0"/>
          <w:szCs w:val="24"/>
          <w:rtl/>
        </w:rPr>
        <w:t>הפרשה השמינית</w:t>
      </w:r>
      <w:r>
        <w:rPr>
          <w:rFonts w:hint="cs"/>
          <w:rtl/>
        </w:rPr>
        <w:t xml:space="preserve"> נכללה הן בחטיבת ניגוד העניינים הן בחטיבת עבירות המין.  במסגרת חטיבת ניגוד העניינים, נטען כי לבקשת השוטרת ח.ח., אשר אין מחלוקת שהייתה לה "מערכת יחסים מוסכמת בעלת היבטים מיניים ברורים ומובהקים" עם המבקש, פנה האחרון בשיחה טלפונית למפקדו של בעלה וביקש ממנו לקצר במספר חודשים את תקופת שירותו במרכז ללימודי משטרה בשפרעם. </w:t>
      </w:r>
    </w:p>
    <w:p w:rsidR="000F3C05" w:rsidRDefault="000F3C05" w:rsidP="00E40F16">
      <w:pPr>
        <w:pStyle w:val="af6"/>
        <w:rPr>
          <w:rtl/>
        </w:rPr>
      </w:pPr>
      <w:r>
        <w:rPr>
          <w:rtl/>
        </w:rPr>
        <w:tab/>
      </w:r>
      <w:r>
        <w:rPr>
          <w:rFonts w:hint="cs"/>
          <w:rtl/>
        </w:rPr>
        <w:t xml:space="preserve">באשר לכך קבע בית המשפט, כי "מדובר בפעולה הרחוקה מלהיות משמעותית ובניגוד עניינים בעוצמה חלשה ביותר, הרחוקה מרחק ניכר מאוד מהמתחם הפלילי" (עמ' 136 להכרעת הדין). זאת, מאחר שמחומר הראיות עלה כי שיחה זו "הייתה בגדר נתון אחד בלבד מבין שלל הנתונים שהובילו לקיצור תקופת השירות", וכי שירותו של בעלה של ח.ח. </w:t>
      </w:r>
      <w:r w:rsidR="00E40F16">
        <w:rPr>
          <w:rFonts w:hint="cs"/>
          <w:rtl/>
        </w:rPr>
        <w:t>צפוי</w:t>
      </w:r>
      <w:r>
        <w:rPr>
          <w:rFonts w:hint="cs"/>
          <w:rtl/>
        </w:rPr>
        <w:t xml:space="preserve"> היה </w:t>
      </w:r>
      <w:r w:rsidR="00E40F16">
        <w:rPr>
          <w:rFonts w:hint="cs"/>
          <w:rtl/>
        </w:rPr>
        <w:t xml:space="preserve">להסתיים </w:t>
      </w:r>
      <w:r>
        <w:rPr>
          <w:rFonts w:hint="cs"/>
          <w:rtl/>
        </w:rPr>
        <w:t>ממילא שלושה או ארבעה חודשים לאחר מכן, בהתאם לתכנית העבודה וגרף ההכשרות של המרכז. הודגש כי מפקדו לא זכר כלל את השיחה עם המבקש אך זכר היטב דווקא שיחה עם גורם אחר שביקש גם הוא את אותה בקשה.</w:t>
      </w:r>
    </w:p>
    <w:p w:rsidR="000F3C05" w:rsidRDefault="000F3C05" w:rsidP="000F3C05">
      <w:pPr>
        <w:pStyle w:val="a"/>
        <w:rPr>
          <w:rtl/>
        </w:rPr>
      </w:pPr>
      <w:r>
        <w:rPr>
          <w:rFonts w:hint="cs"/>
          <w:rtl/>
        </w:rPr>
        <w:lastRenderedPageBreak/>
        <w:t xml:space="preserve">במסגרת </w:t>
      </w:r>
      <w:r w:rsidRPr="00B35BB3">
        <w:rPr>
          <w:rFonts w:ascii="Century" w:hAnsi="Century" w:cs="Miriam" w:hint="cs"/>
          <w:b/>
          <w:spacing w:val="0"/>
          <w:szCs w:val="24"/>
          <w:rtl/>
        </w:rPr>
        <w:t>חטיבת עבירות המין</w:t>
      </w:r>
      <w:r w:rsidRPr="00B35BB3">
        <w:rPr>
          <w:rFonts w:hint="cs"/>
          <w:rtl/>
        </w:rPr>
        <w:t xml:space="preserve"> </w:t>
      </w:r>
      <w:r>
        <w:rPr>
          <w:rFonts w:hint="cs"/>
          <w:rtl/>
        </w:rPr>
        <w:t xml:space="preserve">בית המשפט השלום </w:t>
      </w:r>
      <w:r w:rsidR="00E40F16">
        <w:rPr>
          <w:rFonts w:hint="cs"/>
          <w:rtl/>
        </w:rPr>
        <w:t xml:space="preserve">הרשיע </w:t>
      </w:r>
      <w:r>
        <w:rPr>
          <w:rFonts w:hint="cs"/>
          <w:rtl/>
        </w:rPr>
        <w:t>את המבקש כאמור בעבירה שיוחסה לו בפרשה השישית, וזיכה אותו מהעבירות שיוחסו לו בפרשה השביעית והשמינית.</w:t>
      </w:r>
    </w:p>
    <w:p w:rsidR="000F3C05" w:rsidRDefault="000F3C05" w:rsidP="000F3C05">
      <w:pPr>
        <w:pStyle w:val="a"/>
        <w:rPr>
          <w:rtl/>
        </w:rPr>
      </w:pPr>
      <w:r>
        <w:rPr>
          <w:rFonts w:hint="cs"/>
          <w:rtl/>
        </w:rPr>
        <w:t>אשר ל</w:t>
      </w:r>
      <w:r w:rsidRPr="00B35BB3">
        <w:rPr>
          <w:rFonts w:ascii="Century" w:hAnsi="Century" w:cs="Miriam" w:hint="cs"/>
          <w:b/>
          <w:spacing w:val="0"/>
          <w:szCs w:val="24"/>
          <w:rtl/>
        </w:rPr>
        <w:t>פרשה השישית</w:t>
      </w:r>
      <w:r>
        <w:rPr>
          <w:rFonts w:hint="cs"/>
          <w:rtl/>
        </w:rPr>
        <w:t xml:space="preserve">, נקבע על יסוד הראיות כי המבקש נישק את השוטרת ו.ו. תוך שהוא מחדיר לשונו לפיה, ולאחר מכן ניסה לנשקה פעם נוספת, כל זאת בניגוד לרצונה. טענת המבקש כי עומד לו הסייג לאחריות פלילית בשל "טעות במצב דברים" לפי סעיף 34יח לחוק העונשין נדחתה, לאחר שנקבע כי "טעותו של הנאשם לא הייתה כנה" (עמ' 97 להכרעת דינו של בית משפט השלום), לאור </w:t>
      </w:r>
      <w:proofErr w:type="spellStart"/>
      <w:r>
        <w:rPr>
          <w:rFonts w:hint="cs"/>
          <w:rtl/>
        </w:rPr>
        <w:t>אופיה</w:t>
      </w:r>
      <w:proofErr w:type="spellEnd"/>
      <w:r>
        <w:rPr>
          <w:rFonts w:hint="cs"/>
          <w:rtl/>
        </w:rPr>
        <w:t xml:space="preserve"> המקצועי של מערכת היחסים בין השניים, ולנוכח בכירותו של המבקש ופערי התפקידים והדרגות ביניהם. משכך</w:t>
      </w:r>
      <w:r w:rsidR="00E40F16">
        <w:rPr>
          <w:rFonts w:hint="cs"/>
          <w:rtl/>
        </w:rPr>
        <w:t>,</w:t>
      </w:r>
      <w:r>
        <w:rPr>
          <w:rFonts w:hint="cs"/>
          <w:rtl/>
        </w:rPr>
        <w:t xml:space="preserve"> הורשע המבקש בעבירה של מעשה מגונה לפי סעיף 348(ג) לחוק העונשין.</w:t>
      </w:r>
    </w:p>
    <w:p w:rsidR="000F3C05" w:rsidRDefault="000F3C05" w:rsidP="00E40F16">
      <w:pPr>
        <w:pStyle w:val="a"/>
        <w:rPr>
          <w:rtl/>
        </w:rPr>
      </w:pPr>
      <w:r>
        <w:rPr>
          <w:rFonts w:hint="cs"/>
          <w:rtl/>
        </w:rPr>
        <w:t xml:space="preserve">בגדר </w:t>
      </w:r>
      <w:r w:rsidRPr="00B35BB3">
        <w:rPr>
          <w:rFonts w:ascii="Century" w:hAnsi="Century" w:cs="Miriam" w:hint="cs"/>
          <w:b/>
          <w:spacing w:val="0"/>
          <w:szCs w:val="24"/>
          <w:rtl/>
        </w:rPr>
        <w:t>הפרשה השביעית</w:t>
      </w:r>
      <w:r>
        <w:rPr>
          <w:rFonts w:hint="cs"/>
          <w:rtl/>
        </w:rPr>
        <w:t>, נקבע כי רק מסרון אחד מבין שלושה מסרונים שהוכח כי המבקש שלח לשוטרת ז.ז. (אשר לא אותרו וממילא לא הוצגו כרא</w:t>
      </w:r>
      <w:r w:rsidR="00671FFB">
        <w:rPr>
          <w:rFonts w:hint="cs"/>
          <w:rtl/>
        </w:rPr>
        <w:t>יה, והתביעה ביקשה ללמוד על קיומם</w:t>
      </w:r>
      <w:r>
        <w:rPr>
          <w:rFonts w:hint="cs"/>
          <w:rtl/>
        </w:rPr>
        <w:t xml:space="preserve"> ממספר עדויות), הוא בעל גוון מיני מטריד, ולכן יש לזכותו מהעבירה של הטרדה מינית שיוחסה לו, המחייבת קיומו של "מוטיב חוזר" במעשי נאשם העומד לדין בגינה. </w:t>
      </w:r>
    </w:p>
    <w:p w:rsidR="000F3C05" w:rsidRDefault="000F3C05" w:rsidP="00E40F16">
      <w:pPr>
        <w:pStyle w:val="a"/>
        <w:rPr>
          <w:rtl/>
        </w:rPr>
      </w:pPr>
      <w:r>
        <w:rPr>
          <w:rFonts w:hint="cs"/>
          <w:rtl/>
        </w:rPr>
        <w:t xml:space="preserve">לבסוף, המבקש זוכה גם מהמעשים המיוחסים לו </w:t>
      </w:r>
      <w:r w:rsidRPr="00E40F16">
        <w:rPr>
          <w:rFonts w:ascii="Century" w:hAnsi="Century" w:hint="cs"/>
          <w:rtl/>
        </w:rPr>
        <w:t>ב</w:t>
      </w:r>
      <w:r w:rsidRPr="00E40F16">
        <w:rPr>
          <w:rFonts w:ascii="Century" w:hAnsi="Century" w:cs="Miriam" w:hint="cs"/>
          <w:b/>
          <w:spacing w:val="0"/>
          <w:szCs w:val="24"/>
          <w:rtl/>
        </w:rPr>
        <w:t>פרשה השמינית</w:t>
      </w:r>
      <w:r>
        <w:rPr>
          <w:rFonts w:hint="cs"/>
          <w:rtl/>
        </w:rPr>
        <w:t xml:space="preserve">, </w:t>
      </w:r>
      <w:r w:rsidR="00E40F16">
        <w:rPr>
          <w:rFonts w:hint="cs"/>
          <w:rtl/>
        </w:rPr>
        <w:t>לאחר ש</w:t>
      </w:r>
      <w:r>
        <w:rPr>
          <w:rFonts w:hint="cs"/>
          <w:rtl/>
        </w:rPr>
        <w:t xml:space="preserve">נקבע, כי לא התקיימו יחסי מרות בין המבקש </w:t>
      </w:r>
      <w:proofErr w:type="spellStart"/>
      <w:r>
        <w:rPr>
          <w:rFonts w:hint="cs"/>
          <w:rtl/>
        </w:rPr>
        <w:t>לח.ח</w:t>
      </w:r>
      <w:proofErr w:type="spellEnd"/>
      <w:r>
        <w:rPr>
          <w:rFonts w:hint="cs"/>
          <w:rtl/>
        </w:rPr>
        <w:t xml:space="preserve">., וממילא יש לזכות את המבקש מהעבירה של מעשה מגונה תוך ניצול מרות ביחסי עבודה או שירות, לפי סעיף 348(ה) לחוק העונשין. </w:t>
      </w:r>
    </w:p>
    <w:p w:rsidR="000F3C05" w:rsidRDefault="000F3C05" w:rsidP="000F3C05">
      <w:pPr>
        <w:pStyle w:val="af6"/>
        <w:rPr>
          <w:rtl/>
        </w:rPr>
      </w:pPr>
      <w:r>
        <w:rPr>
          <w:rtl/>
        </w:rPr>
        <w:tab/>
      </w:r>
      <w:r>
        <w:rPr>
          <w:rFonts w:hint="cs"/>
          <w:rtl/>
        </w:rPr>
        <w:t xml:space="preserve">בית המשפט הוסיף ודחה את עתירתה החלופית של התביעה להרשיע את המבקש בעבירה של מעשה מגונה לפי סעיף 348(ג) לחוק העונשין, משלא הוכח שהמעשים נעשו בהיעדר הסכמתה של ח.ח., אשר לא התלוננה מעולם על עבירות מין שביצע בה המבקש, ואשר לא מסרה גרסה עקבית בחקירתה במח"ש, בפגישתה עם נציגי התביעה לקראת עדותה, ובשתי הפעמים בהן נקראה למסור עדות בבית המשפט. </w:t>
      </w:r>
    </w:p>
    <w:p w:rsidR="000F3C05" w:rsidRDefault="000F3C05" w:rsidP="000F3C05">
      <w:pPr>
        <w:pStyle w:val="af6"/>
        <w:rPr>
          <w:rtl/>
        </w:rPr>
      </w:pPr>
      <w:r>
        <w:rPr>
          <w:rtl/>
        </w:rPr>
        <w:tab/>
      </w:r>
      <w:r>
        <w:rPr>
          <w:rFonts w:hint="cs"/>
          <w:rtl/>
        </w:rPr>
        <w:t xml:space="preserve">בהקשר זה הודגש, כי ח.ח. אישרה בחקירתה כי נתנה למבקש להבין שהיא מעוניינת בקשר מיני </w:t>
      </w:r>
      <w:proofErr w:type="spellStart"/>
      <w:r>
        <w:rPr>
          <w:rFonts w:hint="cs"/>
          <w:rtl/>
        </w:rPr>
        <w:t>עימו</w:t>
      </w:r>
      <w:proofErr w:type="spellEnd"/>
      <w:r>
        <w:rPr>
          <w:rFonts w:hint="cs"/>
          <w:rtl/>
        </w:rPr>
        <w:t xml:space="preserve"> וכי מכלול הראיות מלמדות שהקשר ביניהם חרג "ממסגרת רגילה של קשר מקצועי והתאפיין, בין היתר, ברובד '</w:t>
      </w:r>
      <w:proofErr w:type="spellStart"/>
      <w:r>
        <w:rPr>
          <w:rFonts w:hint="cs"/>
          <w:rtl/>
        </w:rPr>
        <w:t>פלירטוטי</w:t>
      </w:r>
      <w:proofErr w:type="spellEnd"/>
      <w:r>
        <w:rPr>
          <w:rFonts w:hint="cs"/>
          <w:rtl/>
        </w:rPr>
        <w:t xml:space="preserve">-אינטימי'" (עמ' 127 להכרעת דינו של בית משפט השלום). עוד הודגש, כי בחקירתה במשטרה שבה ואמרה </w:t>
      </w:r>
      <w:r>
        <w:rPr>
          <w:rFonts w:hint="cs"/>
          <w:rtl/>
        </w:rPr>
        <w:lastRenderedPageBreak/>
        <w:t xml:space="preserve">ח.ח. במפורש כי המבקש לא עשה דבר נגד רצונה, ובעדותה בבית המשפט הסתייגה מהטענה לפיה המבקש הטריד אותה או כי חששה מפניו. </w:t>
      </w:r>
    </w:p>
    <w:p w:rsidR="00E12CE7" w:rsidRDefault="000F3C05" w:rsidP="00E12CE7">
      <w:pPr>
        <w:pStyle w:val="a"/>
      </w:pPr>
      <w:r>
        <w:rPr>
          <w:rFonts w:hint="cs"/>
          <w:rtl/>
        </w:rPr>
        <w:t xml:space="preserve">בסיום הכרעת הדין, בית משפט השלום דחה את </w:t>
      </w:r>
      <w:r w:rsidRPr="00C349F6">
        <w:rPr>
          <w:rFonts w:ascii="Century" w:hAnsi="Century" w:cs="Miriam" w:hint="cs"/>
          <w:b/>
          <w:spacing w:val="0"/>
          <w:szCs w:val="24"/>
          <w:rtl/>
        </w:rPr>
        <w:t>תזת הצבירה</w:t>
      </w:r>
      <w:r>
        <w:rPr>
          <w:rFonts w:hint="cs"/>
          <w:rtl/>
        </w:rPr>
        <w:t xml:space="preserve"> שהציגה המשיבה, תוך שקבע כי היא אינה מתיישבת עם עקרון החוקיות ועם המדיניות המשפטית הרצויה בעבירה של מרמה והפרת אמונים, שכן</w:t>
      </w:r>
      <w:r w:rsidR="00E12CE7">
        <w:rPr>
          <w:rFonts w:hint="cs"/>
          <w:rtl/>
        </w:rPr>
        <w:t>:</w:t>
      </w:r>
    </w:p>
    <w:p w:rsidR="000F3C05" w:rsidRDefault="000F3C05" w:rsidP="00E12CE7">
      <w:pPr>
        <w:pStyle w:val="af2"/>
        <w:keepNext/>
        <w:rPr>
          <w:rtl/>
        </w:rPr>
      </w:pPr>
      <w:r>
        <w:rPr>
          <w:rFonts w:hint="cs"/>
          <w:rtl/>
        </w:rPr>
        <w:t xml:space="preserve">"יש בתזה פוטנציאל טשטוש, עד כדי העלמה מוחלטת, של קו הגבול המפריד בין התחום הפלילי האסור לבין המרחב שאינו פלילי, ויש בה כדי להעצים את העמימות (הבעייתית) של העבירה" (עמ' 142 להכרעת דינו של בית משפט השלום). </w:t>
      </w:r>
    </w:p>
    <w:p w:rsidR="00E12CE7" w:rsidRDefault="000F3C05" w:rsidP="00E12CE7">
      <w:pPr>
        <w:pStyle w:val="af6"/>
        <w:rPr>
          <w:rtl/>
        </w:rPr>
      </w:pPr>
      <w:r>
        <w:rPr>
          <w:rtl/>
        </w:rPr>
        <w:tab/>
      </w:r>
      <w:r>
        <w:rPr>
          <w:rFonts w:hint="cs"/>
          <w:rtl/>
        </w:rPr>
        <w:t>הודגש, כי</w:t>
      </w:r>
      <w:r w:rsidR="00E12CE7">
        <w:rPr>
          <w:rFonts w:hint="cs"/>
          <w:rtl/>
        </w:rPr>
        <w:t>:</w:t>
      </w:r>
    </w:p>
    <w:p w:rsidR="000F3C05" w:rsidRDefault="000F3C05" w:rsidP="00E12CE7">
      <w:pPr>
        <w:pStyle w:val="af2"/>
        <w:keepNext/>
        <w:rPr>
          <w:rtl/>
        </w:rPr>
      </w:pPr>
      <w:r>
        <w:rPr>
          <w:rFonts w:hint="cs"/>
          <w:rtl/>
        </w:rPr>
        <w:t xml:space="preserve">"עבירת הפרת האמונים, אף שגם היא נחשבת 'עבירת סל', אינה תחליף להיעדר הוראת חוק ייעודית שעניינה 'התנהגות מפקד' וממילא אינה ניתנת להחלה על מקרים שאינם נופלים בגדרו של 'התחום השחור הפלילי' כלשונו של הנשיא ברק במאמרו 'ניגוד אינטרסים במילוי תפקיד'" (עמ' 145 להכרעת דינו של בית משפט השלום). </w:t>
      </w:r>
    </w:p>
    <w:p w:rsidR="000F3C05" w:rsidRDefault="000F3C05" w:rsidP="000F3C05">
      <w:pPr>
        <w:pStyle w:val="af6"/>
        <w:rPr>
          <w:rtl/>
        </w:rPr>
      </w:pPr>
      <w:r>
        <w:rPr>
          <w:rtl/>
        </w:rPr>
        <w:tab/>
      </w:r>
      <w:r>
        <w:rPr>
          <w:rFonts w:hint="cs"/>
          <w:rtl/>
        </w:rPr>
        <w:t xml:space="preserve">צוין עוד, כי "מצב משפטי בו 'כמות עושה איכות' ו'מספר התנהגויות פסולות אתית או משמעתית, יוצרות עבירה פלילית אחת' חותר תחת המדרג הנורמטיבי המקובל המהווה כלי לחינוך הציבור ואזהרתו מפני הפרתן של נורמות בדרגות שונות, עד כדי ביטולו המוחלט" (שם, בעמ' 142). </w:t>
      </w:r>
    </w:p>
    <w:p w:rsidR="000F3C05" w:rsidRDefault="000F3C05" w:rsidP="00E12CE7">
      <w:pPr>
        <w:pStyle w:val="a"/>
        <w:rPr>
          <w:rtl/>
        </w:rPr>
      </w:pPr>
      <w:r>
        <w:rPr>
          <w:rFonts w:hint="cs"/>
          <w:rtl/>
        </w:rPr>
        <w:t xml:space="preserve">יתר על כן, בית המשפט </w:t>
      </w:r>
      <w:r w:rsidR="00E12CE7">
        <w:rPr>
          <w:rFonts w:hint="cs"/>
          <w:rtl/>
        </w:rPr>
        <w:t xml:space="preserve">השלום </w:t>
      </w:r>
      <w:r>
        <w:rPr>
          <w:rFonts w:hint="cs"/>
          <w:rtl/>
        </w:rPr>
        <w:t xml:space="preserve">הוסיף וקבע כי יישומה של </w:t>
      </w:r>
      <w:r w:rsidR="00E12CE7">
        <w:rPr>
          <w:rFonts w:hint="cs"/>
          <w:rtl/>
        </w:rPr>
        <w:t>'</w:t>
      </w:r>
      <w:r>
        <w:rPr>
          <w:rFonts w:hint="cs"/>
          <w:rtl/>
        </w:rPr>
        <w:t>תזת הצבירה</w:t>
      </w:r>
      <w:r w:rsidR="00E12CE7">
        <w:rPr>
          <w:rFonts w:hint="cs"/>
          <w:rtl/>
        </w:rPr>
        <w:t>'</w:t>
      </w:r>
      <w:r>
        <w:rPr>
          <w:rFonts w:hint="cs"/>
          <w:rtl/>
        </w:rPr>
        <w:t xml:space="preserve"> במקרה זה אף אינו עולה בקנה אחד עם הקביעות העובדתיות בפסק הדין. זאת, בין היתר לנוכח הפער בין המסכת העובדתית הפלילית רחבת ההיקף שיוחסה למבקש בכתב האישום לבין זו המצומצמת יותר שהוכחה בבית המשפט; בכל אחד מהמקרים שבהם היה המבקש מצוי בניגוד עניינים, עוצמתו הייתה חלשה ביותר ורחוקה מרחק ניכר מהתחום הפלילי; העובדה כי מדובר במספר אירועים זניח ביחס למאות אלפי ההחלטות שיש להניח כי המבקש קיבל במהלך שנותיו בשורות המשטרה; היעדרו של "פן מחמיר נוסף" במעשי המבקש; וקביעת בית משפט השלום כי בסופו של דבר, כלל החלטות המבקש היו ענייניות ומוצדקות, והתיישבו עם מדיניות המשטרה ועם המדיניות הרוחבית והמוצהרת בה נקט. </w:t>
      </w:r>
    </w:p>
    <w:p w:rsidR="000F3C05" w:rsidRDefault="000F3C05" w:rsidP="000F3C05">
      <w:pPr>
        <w:pStyle w:val="a"/>
        <w:rPr>
          <w:rtl/>
        </w:rPr>
      </w:pPr>
      <w:r>
        <w:rPr>
          <w:rFonts w:hint="cs"/>
          <w:rtl/>
        </w:rPr>
        <w:lastRenderedPageBreak/>
        <w:t>בגזר דינו, בית משפט השלום עמד על הפגיעה בערכים המוגנים כתוצאה מהמעשה בו הורשע המבקש בפרשה השישית בכתב האישום, ובהם האוטונומיה של ו.ו. על גופה, כמו גם</w:t>
      </w:r>
      <w:r w:rsidR="0090584D">
        <w:rPr>
          <w:rFonts w:hint="cs"/>
          <w:rtl/>
        </w:rPr>
        <w:t xml:space="preserve"> על</w:t>
      </w:r>
      <w:r>
        <w:rPr>
          <w:rFonts w:hint="cs"/>
          <w:rtl/>
        </w:rPr>
        <w:t xml:space="preserve"> האינטרס הציבורי לשמירה על תדמית המשטרה ו</w:t>
      </w:r>
      <w:r w:rsidR="0090584D">
        <w:rPr>
          <w:rFonts w:hint="cs"/>
          <w:rtl/>
        </w:rPr>
        <w:t xml:space="preserve">על ההתנהלות המצופה </w:t>
      </w:r>
      <w:proofErr w:type="spellStart"/>
      <w:r w:rsidR="0090584D">
        <w:rPr>
          <w:rFonts w:hint="cs"/>
          <w:rtl/>
        </w:rPr>
        <w:t>מבכיריה</w:t>
      </w:r>
      <w:proofErr w:type="spellEnd"/>
      <w:r w:rsidR="0090584D">
        <w:rPr>
          <w:rFonts w:hint="cs"/>
          <w:rtl/>
        </w:rPr>
        <w:t>, ו</w:t>
      </w:r>
      <w:r>
        <w:rPr>
          <w:rFonts w:hint="cs"/>
          <w:rtl/>
        </w:rPr>
        <w:t xml:space="preserve">מידת הפגיעה בהם, שאינה קלה. </w:t>
      </w:r>
    </w:p>
    <w:p w:rsidR="000F3C05" w:rsidRDefault="000F3C05" w:rsidP="00E12CE7">
      <w:pPr>
        <w:pStyle w:val="af6"/>
        <w:rPr>
          <w:rtl/>
        </w:rPr>
      </w:pPr>
      <w:r>
        <w:rPr>
          <w:rtl/>
        </w:rPr>
        <w:tab/>
      </w:r>
      <w:r>
        <w:rPr>
          <w:rFonts w:hint="cs"/>
          <w:rtl/>
        </w:rPr>
        <w:t xml:space="preserve">לצד זאת, צוין כי מדובר ב"אירוע נקודתי", וכי התנהגות המבקש בימים שלאחר המעשה מלמדת על הכרה בפסול שבמעשיו. בית המשפט </w:t>
      </w:r>
      <w:r w:rsidR="00E12CE7">
        <w:rPr>
          <w:rFonts w:hint="cs"/>
          <w:rtl/>
        </w:rPr>
        <w:t xml:space="preserve">מצא </w:t>
      </w:r>
      <w:r>
        <w:rPr>
          <w:rFonts w:hint="cs"/>
          <w:rtl/>
        </w:rPr>
        <w:t>טעם בטענת המבקש שלפיה ככל שהאישום בו הורשע היה עומד לבדו, דינו היה מתברר בהליך משמעתי ולא בהליך פלילי, על כל ההשלכות הנגזרות מכך. מטעמים אלה, ולאחר שבחן את מדיניות הענישה הנוהגת, קבע בית המשפט את מתחם הענישה ההולם בין מאסר מותנה למאסר שניתן לרצותו בעבודות שירות.</w:t>
      </w:r>
    </w:p>
    <w:p w:rsidR="000F3C05" w:rsidRDefault="000F3C05" w:rsidP="00E12CE7">
      <w:pPr>
        <w:pStyle w:val="a"/>
        <w:rPr>
          <w:rtl/>
        </w:rPr>
      </w:pPr>
      <w:r>
        <w:rPr>
          <w:rFonts w:hint="cs"/>
          <w:rtl/>
        </w:rPr>
        <w:t>בבואו לגזור את עונשו של המבקש בתוך המתחם, שקל בית המשפט את תרומתו המשמעותית לציבור במסגרת שירותו רב השנים במשטרה; את "הפער הדרמטי" בין האופן בו החלה החקירה לבין העבירה בה הורשע המבקש בסופו של ההליך, אשר פגע בתדמיתו ודרש ממנו "התמודדות במספר רב של חזיתות"; את פיטוריו מהמשטרה, אשר לא מן הנמנע כי לא היו מתרחשים אילו החקירה וכתב האישום היו כוללים רק את הפרשה השישית, שבה לבדה הורשע; ואת נסיבותיו האישיות והמשפחתיות, לרבות גילו.</w:t>
      </w:r>
    </w:p>
    <w:p w:rsidR="000F3C05" w:rsidRPr="00E12CE7" w:rsidRDefault="000F3C05" w:rsidP="00E12CE7">
      <w:pPr>
        <w:pStyle w:val="af6"/>
        <w:rPr>
          <w:spacing w:val="6"/>
          <w:rtl/>
        </w:rPr>
      </w:pPr>
      <w:r w:rsidRPr="00E12CE7">
        <w:rPr>
          <w:spacing w:val="6"/>
          <w:rtl/>
        </w:rPr>
        <w:tab/>
      </w:r>
      <w:r w:rsidRPr="00E12CE7">
        <w:rPr>
          <w:rFonts w:hint="cs"/>
          <w:spacing w:val="6"/>
          <w:rtl/>
        </w:rPr>
        <w:t xml:space="preserve">על יסוד כל השיקולים הללו </w:t>
      </w:r>
      <w:r w:rsidR="00E12CE7" w:rsidRPr="00E12CE7">
        <w:rPr>
          <w:rFonts w:hint="cs"/>
          <w:spacing w:val="6"/>
          <w:rtl/>
        </w:rPr>
        <w:t>גזר</w:t>
      </w:r>
      <w:r w:rsidRPr="00E12CE7">
        <w:rPr>
          <w:rFonts w:hint="cs"/>
          <w:spacing w:val="6"/>
          <w:rtl/>
        </w:rPr>
        <w:t xml:space="preserve"> בית המשפט על המבקש צו </w:t>
      </w:r>
      <w:proofErr w:type="spellStart"/>
      <w:r w:rsidR="00E12CE7" w:rsidRPr="00E12CE7">
        <w:rPr>
          <w:rFonts w:hint="cs"/>
          <w:spacing w:val="6"/>
          <w:rtl/>
        </w:rPr>
        <w:t>של"צ</w:t>
      </w:r>
      <w:proofErr w:type="spellEnd"/>
      <w:r w:rsidR="00E12CE7" w:rsidRPr="00E12CE7">
        <w:rPr>
          <w:rFonts w:hint="cs"/>
          <w:spacing w:val="6"/>
          <w:rtl/>
        </w:rPr>
        <w:t xml:space="preserve"> בהיקף של </w:t>
      </w:r>
      <w:r w:rsidRPr="00E12CE7">
        <w:rPr>
          <w:rFonts w:hint="cs"/>
          <w:spacing w:val="6"/>
          <w:rtl/>
        </w:rPr>
        <w:t>240 שעות</w:t>
      </w:r>
      <w:r w:rsidR="00E12CE7" w:rsidRPr="00E12CE7">
        <w:rPr>
          <w:rFonts w:hint="cs"/>
          <w:spacing w:val="6"/>
          <w:rtl/>
        </w:rPr>
        <w:t>,</w:t>
      </w:r>
      <w:r w:rsidRPr="00E12CE7">
        <w:rPr>
          <w:rFonts w:hint="cs"/>
          <w:spacing w:val="6"/>
          <w:rtl/>
        </w:rPr>
        <w:t xml:space="preserve"> </w:t>
      </w:r>
      <w:r w:rsidRPr="00E12CE7">
        <w:rPr>
          <w:rFonts w:hint="cs"/>
          <w:spacing w:val="8"/>
          <w:rtl/>
        </w:rPr>
        <w:t>ועונש של שישה חודשי מאסר על תנאי למשך שלוש שנים, לבל יעבור את העבירה בה הורשע.</w:t>
      </w:r>
    </w:p>
    <w:p w:rsidR="000F3C05" w:rsidRDefault="000F3C05" w:rsidP="000F3C05">
      <w:pPr>
        <w:pStyle w:val="1"/>
        <w:spacing w:before="360" w:after="360"/>
        <w:rPr>
          <w:rtl/>
        </w:rPr>
      </w:pPr>
      <w:r w:rsidRPr="00034104">
        <w:rPr>
          <w:rFonts w:hint="cs"/>
          <w:rtl/>
        </w:rPr>
        <w:t>פסק דינו של בית המשפט המחוזי</w:t>
      </w:r>
    </w:p>
    <w:p w:rsidR="000F3C05" w:rsidRDefault="000F3C05" w:rsidP="000F3C05">
      <w:pPr>
        <w:pStyle w:val="a"/>
        <w:rPr>
          <w:rtl/>
        </w:rPr>
      </w:pPr>
      <w:r>
        <w:rPr>
          <w:rFonts w:hint="cs"/>
          <w:rtl/>
        </w:rPr>
        <w:t xml:space="preserve">בית המשפט המחוזי (מפי השופטת העמיתה </w:t>
      </w:r>
      <w:r w:rsidRPr="000801BE">
        <w:rPr>
          <w:rFonts w:ascii="Century" w:hAnsi="Century" w:cs="Miriam" w:hint="cs"/>
          <w:b/>
          <w:spacing w:val="0"/>
          <w:szCs w:val="24"/>
          <w:rtl/>
        </w:rPr>
        <w:t>מ' דיסקין</w:t>
      </w:r>
      <w:r>
        <w:rPr>
          <w:rFonts w:hint="cs"/>
          <w:rtl/>
        </w:rPr>
        <w:t xml:space="preserve">, ובהסכמת השופט </w:t>
      </w:r>
      <w:r>
        <w:rPr>
          <w:rFonts w:ascii="Century" w:hAnsi="Century" w:cs="Miriam" w:hint="cs"/>
          <w:b/>
          <w:spacing w:val="0"/>
          <w:szCs w:val="24"/>
          <w:rtl/>
        </w:rPr>
        <w:t xml:space="preserve">מ' </w:t>
      </w:r>
      <w:r w:rsidRPr="000801BE">
        <w:rPr>
          <w:rFonts w:ascii="Century" w:hAnsi="Century" w:cs="Miriam" w:hint="cs"/>
          <w:b/>
          <w:spacing w:val="0"/>
          <w:szCs w:val="24"/>
          <w:rtl/>
        </w:rPr>
        <w:t>לוי</w:t>
      </w:r>
      <w:r w:rsidRPr="000801BE">
        <w:rPr>
          <w:rFonts w:hint="cs"/>
          <w:rtl/>
        </w:rPr>
        <w:t xml:space="preserve"> </w:t>
      </w:r>
      <w:r>
        <w:rPr>
          <w:rFonts w:hint="cs"/>
          <w:rtl/>
        </w:rPr>
        <w:t xml:space="preserve">והשופטת </w:t>
      </w:r>
      <w:r w:rsidRPr="000801BE">
        <w:rPr>
          <w:rFonts w:ascii="Century" w:hAnsi="Century" w:cs="Miriam" w:hint="cs"/>
          <w:b/>
          <w:spacing w:val="0"/>
          <w:szCs w:val="24"/>
          <w:rtl/>
        </w:rPr>
        <w:t>ג' רביד</w:t>
      </w:r>
      <w:r>
        <w:rPr>
          <w:rFonts w:hint="cs"/>
          <w:rtl/>
        </w:rPr>
        <w:t xml:space="preserve">) קיבל את ערעור המשיבה על פסק דינו של בית משפט השלום, והרשיע את המבקש </w:t>
      </w:r>
      <w:r w:rsidRPr="00034104">
        <w:rPr>
          <w:rFonts w:hint="eastAsia"/>
          <w:rtl/>
        </w:rPr>
        <w:t>בעבירה</w:t>
      </w:r>
      <w:r w:rsidRPr="00034104">
        <w:rPr>
          <w:rtl/>
        </w:rPr>
        <w:t xml:space="preserve"> </w:t>
      </w:r>
      <w:r w:rsidRPr="00034104">
        <w:rPr>
          <w:rFonts w:hint="eastAsia"/>
          <w:rtl/>
        </w:rPr>
        <w:t>של</w:t>
      </w:r>
      <w:r w:rsidRPr="00034104">
        <w:rPr>
          <w:rtl/>
        </w:rPr>
        <w:t xml:space="preserve"> </w:t>
      </w:r>
      <w:r w:rsidRPr="00034104">
        <w:rPr>
          <w:rFonts w:hint="eastAsia"/>
          <w:rtl/>
        </w:rPr>
        <w:t>מרמה</w:t>
      </w:r>
      <w:r w:rsidRPr="00034104">
        <w:rPr>
          <w:rtl/>
        </w:rPr>
        <w:t xml:space="preserve"> </w:t>
      </w:r>
      <w:r w:rsidRPr="00034104">
        <w:rPr>
          <w:rFonts w:hint="eastAsia"/>
          <w:rtl/>
        </w:rPr>
        <w:t>והפרת</w:t>
      </w:r>
      <w:r w:rsidRPr="00034104">
        <w:rPr>
          <w:rtl/>
        </w:rPr>
        <w:t xml:space="preserve"> </w:t>
      </w:r>
      <w:r w:rsidRPr="00034104">
        <w:rPr>
          <w:rFonts w:hint="eastAsia"/>
          <w:rtl/>
        </w:rPr>
        <w:t>אמונים</w:t>
      </w:r>
      <w:r w:rsidRPr="00034104">
        <w:rPr>
          <w:rtl/>
        </w:rPr>
        <w:t xml:space="preserve"> </w:t>
      </w:r>
      <w:r w:rsidRPr="00034104">
        <w:rPr>
          <w:rFonts w:hint="eastAsia"/>
          <w:rtl/>
        </w:rPr>
        <w:t>לפי</w:t>
      </w:r>
      <w:r w:rsidRPr="00034104">
        <w:rPr>
          <w:rtl/>
        </w:rPr>
        <w:t xml:space="preserve"> </w:t>
      </w:r>
      <w:r w:rsidRPr="00034104">
        <w:rPr>
          <w:rFonts w:hint="eastAsia"/>
          <w:rtl/>
        </w:rPr>
        <w:t>סעיף</w:t>
      </w:r>
      <w:r w:rsidRPr="00034104">
        <w:rPr>
          <w:rtl/>
        </w:rPr>
        <w:t xml:space="preserve"> 284 </w:t>
      </w:r>
      <w:r w:rsidRPr="00034104">
        <w:rPr>
          <w:rFonts w:hint="eastAsia"/>
          <w:rtl/>
        </w:rPr>
        <w:t>לחוק</w:t>
      </w:r>
      <w:r w:rsidRPr="00034104">
        <w:rPr>
          <w:rtl/>
        </w:rPr>
        <w:t xml:space="preserve"> </w:t>
      </w:r>
      <w:r w:rsidRPr="00034104">
        <w:rPr>
          <w:rFonts w:hint="eastAsia"/>
          <w:rtl/>
        </w:rPr>
        <w:t>העונשין</w:t>
      </w:r>
      <w:r w:rsidRPr="00034104">
        <w:rPr>
          <w:rtl/>
        </w:rPr>
        <w:t>;</w:t>
      </w:r>
      <w:r>
        <w:rPr>
          <w:rFonts w:hint="cs"/>
          <w:rtl/>
        </w:rPr>
        <w:t xml:space="preserve"> ובעבירה של הטרדה מינית לפי סעיפים 5(א) ו-3(א)(6)(ג) לחוק למניעת הטרדה מינית (בגין הפרשה השביעית בכתב האישום). </w:t>
      </w:r>
    </w:p>
    <w:p w:rsidR="000F3C05" w:rsidRDefault="000F3C05" w:rsidP="00350022">
      <w:pPr>
        <w:pStyle w:val="af6"/>
        <w:rPr>
          <w:rtl/>
        </w:rPr>
      </w:pPr>
      <w:r>
        <w:rPr>
          <w:rtl/>
        </w:rPr>
        <w:tab/>
      </w:r>
      <w:r>
        <w:rPr>
          <w:rFonts w:hint="cs"/>
          <w:rtl/>
        </w:rPr>
        <w:t xml:space="preserve">בהקשר אחרון זה קיבל בית המשפט את עמדת המשיבה לפיה די במסרון אחד, "המורכב משיח מרובה של הצעה, דחייה (באמצעות שתיקה), הצעה נשנית (באמצעות סימני שאלה) ודחייה, כדי להוות הטרדה מינית אסורה על פי חוק" (עמ' 91 לפסק דינו </w:t>
      </w:r>
      <w:r>
        <w:rPr>
          <w:rFonts w:hint="cs"/>
          <w:rtl/>
        </w:rPr>
        <w:lastRenderedPageBreak/>
        <w:t xml:space="preserve">של בית המשפט המחוזי). בית המשפט המחוזי פירש את </w:t>
      </w:r>
      <w:r w:rsidR="00350022">
        <w:rPr>
          <w:rFonts w:hint="cs"/>
          <w:rtl/>
        </w:rPr>
        <w:t xml:space="preserve">אותה תכתובת של המבקש, אשר נקבע כי התקיימה, </w:t>
      </w:r>
      <w:r>
        <w:rPr>
          <w:rFonts w:hint="cs"/>
          <w:rtl/>
        </w:rPr>
        <w:t xml:space="preserve">כאירוע עובדתי אחד שבו התרחשו שתי הצעות נפרדות בעלות אופי מיני, ועל כן קבע כי התקיים היסוד של "הצעות חוזרות" המופיע בסעיף 3(א)(3) לחוק למניעת הטרדה מינית. </w:t>
      </w:r>
    </w:p>
    <w:p w:rsidR="000F3C05" w:rsidRDefault="000F3C05" w:rsidP="000F3C05">
      <w:pPr>
        <w:pStyle w:val="af6"/>
        <w:rPr>
          <w:rtl/>
        </w:rPr>
      </w:pPr>
      <w:r>
        <w:rPr>
          <w:rtl/>
        </w:rPr>
        <w:tab/>
      </w:r>
      <w:r>
        <w:rPr>
          <w:rFonts w:hint="cs"/>
          <w:rtl/>
        </w:rPr>
        <w:t>לצד זאת, דחה בית המשפט המחוזי את ערעור המבקש על הרשעתו בעבירה של מעשה מגונה לפי סעיף 348(ג) לחוק העונשין (בגין הפרשה השישית בכתב האישום), מן הטעם שלא נמצאה הצדקה להתערב בממצאי עובדה ומהימנות שנקבעו על ידי הערכאה הדיונית.</w:t>
      </w:r>
    </w:p>
    <w:p w:rsidR="000F3C05" w:rsidRDefault="000F3C05" w:rsidP="000F3C05">
      <w:pPr>
        <w:pStyle w:val="a"/>
        <w:rPr>
          <w:rtl/>
        </w:rPr>
      </w:pPr>
      <w:r>
        <w:rPr>
          <w:rFonts w:hint="cs"/>
          <w:rtl/>
        </w:rPr>
        <w:t xml:space="preserve">אשר לעבירה של מרמה והפרת אמונים, </w:t>
      </w:r>
      <w:r w:rsidRPr="00FB426A">
        <w:rPr>
          <w:rFonts w:hint="cs"/>
          <w:rtl/>
        </w:rPr>
        <w:t>הציב בית המשפט</w:t>
      </w:r>
      <w:r>
        <w:rPr>
          <w:rFonts w:hint="cs"/>
          <w:rtl/>
        </w:rPr>
        <w:t xml:space="preserve"> המחוזי</w:t>
      </w:r>
      <w:r w:rsidRPr="00FB426A">
        <w:rPr>
          <w:rFonts w:hint="cs"/>
          <w:rtl/>
        </w:rPr>
        <w:t xml:space="preserve"> </w:t>
      </w:r>
      <w:r>
        <w:rPr>
          <w:rFonts w:hint="cs"/>
          <w:rtl/>
        </w:rPr>
        <w:t>בפסק דינו שלוש</w:t>
      </w:r>
      <w:r w:rsidRPr="00FB426A">
        <w:rPr>
          <w:rFonts w:hint="cs"/>
          <w:rtl/>
        </w:rPr>
        <w:t xml:space="preserve"> שאלות הדרושות הכרעה</w:t>
      </w:r>
      <w:r>
        <w:rPr>
          <w:rFonts w:hint="cs"/>
          <w:rtl/>
        </w:rPr>
        <w:t xml:space="preserve">: </w:t>
      </w:r>
    </w:p>
    <w:p w:rsidR="000F3C05" w:rsidRDefault="000F3C05" w:rsidP="000F3C05">
      <w:pPr>
        <w:pStyle w:val="af6"/>
        <w:rPr>
          <w:rFonts w:ascii="Century" w:hAnsi="Century" w:cs="Miriam"/>
          <w:b/>
          <w:spacing w:val="0"/>
          <w:szCs w:val="24"/>
          <w:rtl/>
        </w:rPr>
      </w:pPr>
      <w:r>
        <w:rPr>
          <w:rtl/>
        </w:rPr>
        <w:tab/>
      </w:r>
      <w:r w:rsidRPr="00325F9A">
        <w:rPr>
          <w:rFonts w:ascii="Century" w:hAnsi="Century" w:cs="Miriam" w:hint="cs"/>
          <w:b/>
          <w:spacing w:val="0"/>
          <w:szCs w:val="24"/>
          <w:rtl/>
        </w:rPr>
        <w:t>ה</w:t>
      </w:r>
      <w:r>
        <w:rPr>
          <w:rFonts w:ascii="Century" w:hAnsi="Century" w:cs="Miriam" w:hint="cs"/>
          <w:b/>
          <w:spacing w:val="0"/>
          <w:szCs w:val="24"/>
          <w:rtl/>
        </w:rPr>
        <w:t>שאלה ה</w:t>
      </w:r>
      <w:r w:rsidRPr="00325F9A">
        <w:rPr>
          <w:rFonts w:ascii="Century" w:hAnsi="Century" w:cs="Miriam" w:hint="cs"/>
          <w:b/>
          <w:spacing w:val="0"/>
          <w:szCs w:val="24"/>
          <w:rtl/>
        </w:rPr>
        <w:t>אחת</w:t>
      </w:r>
      <w:r>
        <w:rPr>
          <w:rFonts w:hint="cs"/>
          <w:rtl/>
        </w:rPr>
        <w:t xml:space="preserve"> </w:t>
      </w:r>
      <w:r>
        <w:rPr>
          <w:rtl/>
        </w:rPr>
        <w:t>–</w:t>
      </w:r>
      <w:r>
        <w:rPr>
          <w:rFonts w:hint="cs"/>
          <w:rtl/>
        </w:rPr>
        <w:t xml:space="preserve"> "האם די בדפוס התנהלותו של שחם </w:t>
      </w:r>
      <w:r>
        <w:rPr>
          <w:rtl/>
        </w:rPr>
        <w:t>–</w:t>
      </w:r>
      <w:r>
        <w:rPr>
          <w:rFonts w:hint="cs"/>
          <w:rtl/>
        </w:rPr>
        <w:t xml:space="preserve"> בבצעו מעשים מיניים, בין בהסכמה ובין בלא הסכמה, עם שוטרות זוטרות </w:t>
      </w:r>
      <w:r>
        <w:rPr>
          <w:rtl/>
        </w:rPr>
        <w:t>–</w:t>
      </w:r>
      <w:r>
        <w:rPr>
          <w:rFonts w:hint="cs"/>
          <w:rtl/>
        </w:rPr>
        <w:t xml:space="preserve"> כדי להכניסו לגדר העבירה הפלילית של מרמה והפרת אמונים?" </w:t>
      </w:r>
    </w:p>
    <w:p w:rsidR="000F3C05" w:rsidRDefault="000F3C05" w:rsidP="000F3C05">
      <w:pPr>
        <w:pStyle w:val="af6"/>
        <w:rPr>
          <w:rFonts w:ascii="Century" w:hAnsi="Century" w:cs="Miriam"/>
          <w:b/>
          <w:spacing w:val="0"/>
          <w:szCs w:val="24"/>
          <w:rtl/>
        </w:rPr>
      </w:pPr>
      <w:r>
        <w:rPr>
          <w:rFonts w:ascii="Century" w:hAnsi="Century" w:cs="Miriam"/>
          <w:b/>
          <w:spacing w:val="0"/>
          <w:szCs w:val="24"/>
          <w:rtl/>
        </w:rPr>
        <w:tab/>
      </w:r>
      <w:r w:rsidRPr="00325F9A">
        <w:rPr>
          <w:rFonts w:ascii="Century" w:hAnsi="Century" w:cs="Miriam" w:hint="cs"/>
          <w:b/>
          <w:spacing w:val="0"/>
          <w:szCs w:val="24"/>
          <w:rtl/>
        </w:rPr>
        <w:t>ה</w:t>
      </w:r>
      <w:r>
        <w:rPr>
          <w:rFonts w:ascii="Century" w:hAnsi="Century" w:cs="Miriam" w:hint="cs"/>
          <w:b/>
          <w:spacing w:val="0"/>
          <w:szCs w:val="24"/>
          <w:rtl/>
        </w:rPr>
        <w:t xml:space="preserve">שאלה </w:t>
      </w:r>
      <w:r w:rsidR="00895777">
        <w:rPr>
          <w:rFonts w:ascii="Century" w:hAnsi="Century" w:cs="Miriam" w:hint="cs"/>
          <w:b/>
          <w:spacing w:val="0"/>
          <w:szCs w:val="24"/>
          <w:rtl/>
        </w:rPr>
        <w:t>ה</w:t>
      </w:r>
      <w:r w:rsidRPr="00325F9A">
        <w:rPr>
          <w:rFonts w:ascii="Century" w:hAnsi="Century" w:cs="Miriam" w:hint="cs"/>
          <w:b/>
          <w:spacing w:val="0"/>
          <w:szCs w:val="24"/>
          <w:rtl/>
        </w:rPr>
        <w:t>שנ</w:t>
      </w:r>
      <w:r w:rsidR="00895777">
        <w:rPr>
          <w:rFonts w:ascii="Century" w:hAnsi="Century" w:cs="Miriam" w:hint="cs"/>
          <w:b/>
          <w:spacing w:val="0"/>
          <w:szCs w:val="24"/>
          <w:rtl/>
        </w:rPr>
        <w:t>י</w:t>
      </w:r>
      <w:r w:rsidRPr="00325F9A">
        <w:rPr>
          <w:rFonts w:ascii="Century" w:hAnsi="Century" w:cs="Miriam" w:hint="cs"/>
          <w:b/>
          <w:spacing w:val="0"/>
          <w:szCs w:val="24"/>
          <w:rtl/>
        </w:rPr>
        <w:t>יה</w:t>
      </w:r>
      <w:r>
        <w:rPr>
          <w:rFonts w:hint="cs"/>
          <w:rtl/>
        </w:rPr>
        <w:t xml:space="preserve"> </w:t>
      </w:r>
      <w:r>
        <w:rPr>
          <w:rtl/>
        </w:rPr>
        <w:t>–</w:t>
      </w:r>
      <w:r>
        <w:rPr>
          <w:rFonts w:hint="cs"/>
          <w:rtl/>
        </w:rPr>
        <w:t xml:space="preserve"> "האם די בדפוס התנהלותו של שחם </w:t>
      </w:r>
      <w:r>
        <w:rPr>
          <w:rtl/>
        </w:rPr>
        <w:t>–</w:t>
      </w:r>
      <w:r>
        <w:rPr>
          <w:rFonts w:hint="cs"/>
          <w:rtl/>
        </w:rPr>
        <w:t xml:space="preserve"> בקבלת החלטות בעניינן של השוטרות, בהיותו במצב של ניגוד עניינים </w:t>
      </w:r>
      <w:r>
        <w:rPr>
          <w:rtl/>
        </w:rPr>
        <w:t>–</w:t>
      </w:r>
      <w:r>
        <w:rPr>
          <w:rFonts w:hint="cs"/>
          <w:rtl/>
        </w:rPr>
        <w:t xml:space="preserve"> כדי להכניסו לגדר אותה עבירה?" </w:t>
      </w:r>
    </w:p>
    <w:p w:rsidR="000F3C05" w:rsidRDefault="000F3C05" w:rsidP="000F3C05">
      <w:pPr>
        <w:pStyle w:val="af6"/>
        <w:rPr>
          <w:rtl/>
        </w:rPr>
      </w:pPr>
      <w:r>
        <w:rPr>
          <w:rFonts w:ascii="Century" w:hAnsi="Century" w:cs="Miriam"/>
          <w:b/>
          <w:spacing w:val="0"/>
          <w:szCs w:val="24"/>
          <w:rtl/>
        </w:rPr>
        <w:tab/>
      </w:r>
      <w:r w:rsidRPr="00325F9A">
        <w:rPr>
          <w:rFonts w:ascii="Century" w:hAnsi="Century" w:cs="Miriam" w:hint="cs"/>
          <w:b/>
          <w:spacing w:val="0"/>
          <w:szCs w:val="24"/>
          <w:rtl/>
        </w:rPr>
        <w:t>ה</w:t>
      </w:r>
      <w:r>
        <w:rPr>
          <w:rFonts w:ascii="Century" w:hAnsi="Century" w:cs="Miriam" w:hint="cs"/>
          <w:b/>
          <w:spacing w:val="0"/>
          <w:szCs w:val="24"/>
          <w:rtl/>
        </w:rPr>
        <w:t>שאלה ה</w:t>
      </w:r>
      <w:r w:rsidRPr="00325F9A">
        <w:rPr>
          <w:rFonts w:ascii="Century" w:hAnsi="Century" w:cs="Miriam" w:hint="cs"/>
          <w:b/>
          <w:spacing w:val="0"/>
          <w:szCs w:val="24"/>
          <w:rtl/>
        </w:rPr>
        <w:t>שלישית</w:t>
      </w:r>
      <w:r>
        <w:rPr>
          <w:rFonts w:hint="cs"/>
          <w:rtl/>
        </w:rPr>
        <w:t xml:space="preserve"> </w:t>
      </w:r>
      <w:r>
        <w:rPr>
          <w:rtl/>
        </w:rPr>
        <w:t>–</w:t>
      </w:r>
      <w:r>
        <w:rPr>
          <w:rFonts w:hint="cs"/>
          <w:rtl/>
        </w:rPr>
        <w:t xml:space="preserve"> "האם ראוי במסגרת הנורמטיבית הקיימת לקבל את תזת הצבירה, לפיה ניתן לצבור אסופה של ניגודי עניינים שאינם פליליים לכדי עבירה פלילית אחת של מרמה והפרת אמונים?"</w:t>
      </w:r>
    </w:p>
    <w:p w:rsidR="000F3C05" w:rsidRDefault="000F3C05" w:rsidP="000F3C05">
      <w:pPr>
        <w:pStyle w:val="af6"/>
        <w:rPr>
          <w:rtl/>
        </w:rPr>
      </w:pPr>
      <w:r>
        <w:rPr>
          <w:rtl/>
        </w:rPr>
        <w:tab/>
      </w:r>
      <w:r>
        <w:rPr>
          <w:rFonts w:hint="cs"/>
          <w:rtl/>
        </w:rPr>
        <w:t>בית המשפט המחוזי השיב בחיוב על שלוש השאלות.</w:t>
      </w:r>
    </w:p>
    <w:p w:rsidR="000F3C05" w:rsidRDefault="000F3C05" w:rsidP="000F3C05">
      <w:pPr>
        <w:pStyle w:val="a"/>
        <w:rPr>
          <w:rtl/>
        </w:rPr>
      </w:pPr>
      <w:r w:rsidRPr="00A720E5">
        <w:rPr>
          <w:rFonts w:ascii="Century" w:hAnsi="Century" w:cs="Miriam" w:hint="cs"/>
          <w:b/>
          <w:spacing w:val="0"/>
          <w:szCs w:val="24"/>
          <w:rtl/>
        </w:rPr>
        <w:t>אשר לשאלה הראשונה</w:t>
      </w:r>
      <w:r>
        <w:rPr>
          <w:rFonts w:hint="cs"/>
          <w:rtl/>
        </w:rPr>
        <w:t xml:space="preserve">, נקבע כי עצם קיומם של יחסים אינטימיים בין המבקש, ששימש בתפקיד בכיר במשטרה, לבין שוטרות צעירות ממנו הכפופות לו </w:t>
      </w:r>
      <w:r>
        <w:rPr>
          <w:rtl/>
        </w:rPr>
        <w:t>–</w:t>
      </w:r>
      <w:r>
        <w:rPr>
          <w:rFonts w:hint="cs"/>
          <w:rtl/>
        </w:rPr>
        <w:t xml:space="preserve"> פוגע בחובת הנאמנות של עובד ציבור, כמו גם בתפקוד התקין של השירות הציבורי ובתדמיתו, וזאת אף מבלי שהמבקש יידרש לקבלת החלטה בעניינן של אותן שוטרות.  פגיעה זו באה לידי ביטוי בניצול פערי הכוחות בין המבקש לשוטרות לצורך מינוף וסיפוק צרכיו האישיים. </w:t>
      </w:r>
    </w:p>
    <w:p w:rsidR="000F3C05" w:rsidRDefault="000F3C05" w:rsidP="000F3C05">
      <w:pPr>
        <w:pStyle w:val="af6"/>
        <w:rPr>
          <w:rtl/>
        </w:rPr>
      </w:pPr>
      <w:r>
        <w:rPr>
          <w:rtl/>
        </w:rPr>
        <w:lastRenderedPageBreak/>
        <w:tab/>
      </w:r>
      <w:r>
        <w:rPr>
          <w:rFonts w:hint="cs"/>
          <w:rtl/>
        </w:rPr>
        <w:t xml:space="preserve">נקבע כי תכלית העבירה של מרמה והפרת אמונים היא מניעת שחיתות בשירות הציבורי, </w:t>
      </w:r>
      <w:proofErr w:type="spellStart"/>
      <w:r>
        <w:rPr>
          <w:rFonts w:hint="cs"/>
          <w:rtl/>
        </w:rPr>
        <w:t>וככזו</w:t>
      </w:r>
      <w:proofErr w:type="spellEnd"/>
      <w:r>
        <w:rPr>
          <w:rFonts w:hint="cs"/>
          <w:rtl/>
        </w:rPr>
        <w:t xml:space="preserve">, היא אינה ממוקדת בהגנה על העובדים הכפופים לעובד הציבור הבכיר, אלא בהגנה על תפקודו התקין של המנהל הציבורי ואמון הציבור בו. לפיכך, אין זה משנה אם היחסים האינטימיים התקיימו בהסכמה חופשית מצד השוטרות, שכן הסכמתן הושגה תוך ניצול </w:t>
      </w:r>
      <w:r w:rsidRPr="00A973E0">
        <w:rPr>
          <w:rFonts w:hint="eastAsia"/>
          <w:rtl/>
        </w:rPr>
        <w:t>פערי</w:t>
      </w:r>
      <w:r w:rsidRPr="00A973E0">
        <w:rPr>
          <w:rtl/>
        </w:rPr>
        <w:t xml:space="preserve"> </w:t>
      </w:r>
      <w:r w:rsidRPr="00A973E0">
        <w:rPr>
          <w:rFonts w:hint="eastAsia"/>
          <w:rtl/>
        </w:rPr>
        <w:t>הכוחות</w:t>
      </w:r>
      <w:r w:rsidRPr="00A973E0">
        <w:rPr>
          <w:rtl/>
        </w:rPr>
        <w:t xml:space="preserve"> </w:t>
      </w:r>
      <w:r>
        <w:rPr>
          <w:rFonts w:hint="cs"/>
          <w:rtl/>
        </w:rPr>
        <w:t xml:space="preserve">בינו לבין השוטרות </w:t>
      </w:r>
      <w:r w:rsidRPr="00A973E0">
        <w:rPr>
          <w:rFonts w:hint="eastAsia"/>
          <w:rtl/>
        </w:rPr>
        <w:t>למינוף</w:t>
      </w:r>
      <w:r w:rsidRPr="00A973E0">
        <w:rPr>
          <w:rtl/>
        </w:rPr>
        <w:t xml:space="preserve"> </w:t>
      </w:r>
      <w:r w:rsidRPr="00A973E0">
        <w:rPr>
          <w:rFonts w:hint="eastAsia"/>
          <w:rtl/>
        </w:rPr>
        <w:t>וסיפוק</w:t>
      </w:r>
      <w:r w:rsidRPr="00A973E0">
        <w:rPr>
          <w:rtl/>
        </w:rPr>
        <w:t xml:space="preserve"> </w:t>
      </w:r>
      <w:r w:rsidRPr="00A973E0">
        <w:rPr>
          <w:rFonts w:hint="eastAsia"/>
          <w:rtl/>
        </w:rPr>
        <w:t>צרכי</w:t>
      </w:r>
      <w:r>
        <w:rPr>
          <w:rFonts w:hint="cs"/>
          <w:rtl/>
        </w:rPr>
        <w:t>ו</w:t>
      </w:r>
      <w:r w:rsidRPr="00A973E0">
        <w:rPr>
          <w:rtl/>
        </w:rPr>
        <w:t xml:space="preserve"> </w:t>
      </w:r>
      <w:r>
        <w:rPr>
          <w:rFonts w:hint="cs"/>
          <w:rtl/>
        </w:rPr>
        <w:t>ה</w:t>
      </w:r>
      <w:r w:rsidRPr="00A973E0">
        <w:rPr>
          <w:rFonts w:hint="eastAsia"/>
          <w:rtl/>
        </w:rPr>
        <w:t>אישיים</w:t>
      </w:r>
      <w:r>
        <w:rPr>
          <w:rFonts w:hint="cs"/>
          <w:rtl/>
        </w:rPr>
        <w:t xml:space="preserve">. </w:t>
      </w:r>
    </w:p>
    <w:p w:rsidR="000F3C05" w:rsidRPr="00FB426A" w:rsidRDefault="000F3C05" w:rsidP="00350022">
      <w:pPr>
        <w:pStyle w:val="af6"/>
        <w:rPr>
          <w:rtl/>
        </w:rPr>
      </w:pPr>
      <w:r>
        <w:rPr>
          <w:rtl/>
        </w:rPr>
        <w:tab/>
      </w:r>
      <w:r>
        <w:rPr>
          <w:rFonts w:hint="cs"/>
          <w:rtl/>
        </w:rPr>
        <w:t xml:space="preserve">בעניינו של המבקש, כך נקבע, נסיבותיו הייחודיות ומידת חומרתן </w:t>
      </w:r>
      <w:r w:rsidR="00350022">
        <w:rPr>
          <w:rFonts w:hint="cs"/>
          <w:rtl/>
        </w:rPr>
        <w:t>מסיטות</w:t>
      </w:r>
      <w:r>
        <w:rPr>
          <w:rFonts w:hint="cs"/>
          <w:rtl/>
        </w:rPr>
        <w:t xml:space="preserve"> את מעשיו </w:t>
      </w:r>
      <w:r w:rsidR="00350022">
        <w:rPr>
          <w:rFonts w:hint="cs"/>
          <w:rtl/>
        </w:rPr>
        <w:t>"</w:t>
      </w:r>
      <w:r>
        <w:rPr>
          <w:rFonts w:hint="cs"/>
          <w:rtl/>
        </w:rPr>
        <w:t xml:space="preserve">מהמרחב 'האפור' והמשמעתי למרחב 'השחור' הפלילי" (עמ' 40 לפסק דינו של בית המשפט המחוזי). זאת, בשל מעמדו ותפקידו הבכיר של המבקש במשטרה, האמונה על אכיפת החוק, אל מול מעמדן הזוטר של השוטרות, חלקן אף שוטרות בשירות חובה; ניצול נסיבותיהן האישיות ומצוקתן של חלק מהשוטרות, אשר מצאו אצל המבקש אוזן קשבת; מספר השוטרות </w:t>
      </w:r>
      <w:proofErr w:type="spellStart"/>
      <w:r>
        <w:rPr>
          <w:rFonts w:hint="cs"/>
          <w:rtl/>
        </w:rPr>
        <w:t>עימן</w:t>
      </w:r>
      <w:proofErr w:type="spellEnd"/>
      <w:r>
        <w:rPr>
          <w:rFonts w:hint="cs"/>
          <w:rtl/>
        </w:rPr>
        <w:t xml:space="preserve"> יצר המבקש קשרים בעלי אופי מיני; משך הזמן במהלכו נמשכו הקשרים</w:t>
      </w:r>
      <w:r w:rsidR="00350022">
        <w:rPr>
          <w:rFonts w:hint="cs"/>
          <w:rtl/>
        </w:rPr>
        <w:t xml:space="preserve"> ואופיים</w:t>
      </w:r>
      <w:r>
        <w:rPr>
          <w:rFonts w:hint="cs"/>
          <w:rtl/>
        </w:rPr>
        <w:t xml:space="preserve">; מודעות המבקש לכך שבעתיד הוא עלול להתבקש להכריע הכרעות מקצועיות ניהוליות בעניינן של השוטרות, באופן המציב אותו במצב של ניגוד עניינים; שמירת היחסים בסוד; והמסר </w:t>
      </w:r>
      <w:r w:rsidR="00350022">
        <w:rPr>
          <w:rFonts w:hint="cs"/>
          <w:rtl/>
        </w:rPr>
        <w:t xml:space="preserve">הברור העולה מהתנהגותו כלפי יתר </w:t>
      </w:r>
      <w:r>
        <w:rPr>
          <w:rFonts w:hint="cs"/>
          <w:rtl/>
        </w:rPr>
        <w:t>עובדי</w:t>
      </w:r>
      <w:r w:rsidR="00350022">
        <w:rPr>
          <w:rFonts w:hint="cs"/>
          <w:rtl/>
        </w:rPr>
        <w:t xml:space="preserve"> המשטרה</w:t>
      </w:r>
      <w:r>
        <w:rPr>
          <w:rFonts w:hint="cs"/>
          <w:rtl/>
        </w:rPr>
        <w:t xml:space="preserve">, לפיו מדובר במעשים לגיטימיים שניתן לחקות, אשר לו השפעה הרסנית על אמון הציבור במשטרה כארגון מקצועי. </w:t>
      </w:r>
    </w:p>
    <w:p w:rsidR="000F3C05" w:rsidRDefault="000F3C05" w:rsidP="000F3C05">
      <w:pPr>
        <w:pStyle w:val="a"/>
        <w:keepNext/>
        <w:rPr>
          <w:rtl/>
        </w:rPr>
      </w:pPr>
      <w:r>
        <w:rPr>
          <w:rFonts w:hint="cs"/>
          <w:rtl/>
        </w:rPr>
        <w:t xml:space="preserve">ביחס </w:t>
      </w:r>
      <w:r w:rsidRPr="00DC738A">
        <w:rPr>
          <w:rFonts w:hint="cs"/>
          <w:rtl/>
        </w:rPr>
        <w:t>לשאלה השני</w:t>
      </w:r>
      <w:r>
        <w:rPr>
          <w:rFonts w:hint="cs"/>
          <w:rtl/>
        </w:rPr>
        <w:t>י</w:t>
      </w:r>
      <w:r w:rsidRPr="00DC738A">
        <w:rPr>
          <w:rFonts w:hint="cs"/>
          <w:rtl/>
        </w:rPr>
        <w:t>ה</w:t>
      </w:r>
      <w:r>
        <w:rPr>
          <w:rFonts w:hint="cs"/>
          <w:rtl/>
        </w:rPr>
        <w:t xml:space="preserve">, נקבע כי: </w:t>
      </w:r>
    </w:p>
    <w:p w:rsidR="000F3C05" w:rsidRDefault="000F3C05" w:rsidP="000F3C05">
      <w:pPr>
        <w:pStyle w:val="af2"/>
        <w:keepNext/>
        <w:rPr>
          <w:rtl/>
        </w:rPr>
      </w:pPr>
      <w:r>
        <w:rPr>
          <w:rFonts w:hint="cs"/>
          <w:rtl/>
        </w:rPr>
        <w:t xml:space="preserve">"האיסור על קיומם של יחסים אינטימיים עם כפיפה קשור קשר בל ינותק לאיסור להיכנס למצב של ניגוד עניינים, במובן של 'הא בהא </w:t>
      </w:r>
      <w:proofErr w:type="spellStart"/>
      <w:r>
        <w:rPr>
          <w:rFonts w:hint="cs"/>
          <w:rtl/>
        </w:rPr>
        <w:t>תליא</w:t>
      </w:r>
      <w:proofErr w:type="spellEnd"/>
      <w:r>
        <w:rPr>
          <w:rFonts w:hint="cs"/>
          <w:rtl/>
        </w:rPr>
        <w:t xml:space="preserve">'. המדובר בקשר גורדי, מורכב ובעייתי שאינו ניתן להתרה ממשית, גם לא בחלוף זמן, משום שעצם קיומה של מערכת יחסים כזו בתוך ארגון היררכי מוביל בהכרח את הבכיר לתוך 'שדה מוקשים' של התנגשות בלתי נמנעת בין המישור האישי למישור המקצועי" (עמ' 55 לפסק דינו של בית המשפט המחוזי). </w:t>
      </w:r>
    </w:p>
    <w:p w:rsidR="000F3C05" w:rsidRDefault="000F3C05" w:rsidP="000F3C05">
      <w:pPr>
        <w:pStyle w:val="af6"/>
        <w:rPr>
          <w:rtl/>
        </w:rPr>
      </w:pPr>
      <w:r>
        <w:rPr>
          <w:rtl/>
        </w:rPr>
        <w:tab/>
      </w:r>
      <w:r>
        <w:rPr>
          <w:rFonts w:hint="cs"/>
          <w:rtl/>
        </w:rPr>
        <w:t>הודגש, כי עובד ציבור לא יכול להבטיח מראש שדרכו ודרכה של העובדת הכפופה לו עמה הוא מקיים מערכת יחסים אינטימית לא תצטלב בעתיד, באופן שיעמיד אותו במצב של ניגוד עניינים, ולכן באופן אינהרנטי תַפֵר מערכת יחסים זו "את נקודת האיזון בין פעולות לגיטימיות של עובד הציבור לפעולות הלוקות או נגועות בהשפעה של שיקולים או אינטרסים זרים" (שם).</w:t>
      </w:r>
    </w:p>
    <w:p w:rsidR="000F3C05" w:rsidRDefault="000F3C05" w:rsidP="000F3C05">
      <w:pPr>
        <w:pStyle w:val="a"/>
        <w:rPr>
          <w:rtl/>
        </w:rPr>
      </w:pPr>
      <w:r>
        <w:rPr>
          <w:rFonts w:hint="cs"/>
          <w:rtl/>
        </w:rPr>
        <w:lastRenderedPageBreak/>
        <w:t xml:space="preserve">בנסיבות העניין, כך נקבע, אין מחלוקת כי המבקש פעל בניגוד עניינים כאשר טיפל בעניינן של השוטרות חרף העובדה שקודם לכן או תוך כדי פעולותיו קיים איתן יחסים אינטימיים (למעט בפרשה החמישית), והמחלוקת היא על עוצמתו של ניגוד העניינים. </w:t>
      </w:r>
    </w:p>
    <w:p w:rsidR="000F3C05" w:rsidRDefault="000F3C05" w:rsidP="000F3C05">
      <w:pPr>
        <w:pStyle w:val="af6"/>
        <w:rPr>
          <w:rtl/>
        </w:rPr>
      </w:pPr>
      <w:r>
        <w:rPr>
          <w:rtl/>
        </w:rPr>
        <w:tab/>
      </w:r>
      <w:r>
        <w:rPr>
          <w:rFonts w:hint="cs"/>
          <w:rtl/>
        </w:rPr>
        <w:t xml:space="preserve">בנקודה זו </w:t>
      </w:r>
      <w:r>
        <w:rPr>
          <w:rtl/>
        </w:rPr>
        <w:t>–</w:t>
      </w:r>
      <w:r>
        <w:rPr>
          <w:rFonts w:hint="cs"/>
          <w:rtl/>
        </w:rPr>
        <w:t xml:space="preserve"> כך קבע בית המשפט המחוזי </w:t>
      </w:r>
      <w:r>
        <w:rPr>
          <w:rtl/>
        </w:rPr>
        <w:t>–</w:t>
      </w:r>
      <w:r>
        <w:rPr>
          <w:rFonts w:hint="cs"/>
          <w:rtl/>
        </w:rPr>
        <w:t xml:space="preserve"> שגה בית משפט השלום כשניתח כל מקרה ומקרה בנפרד ובמנותק מהתמונה הכוללת, המצטיירת מכל המעשים כולם. לולא נהג כך, "הייתה מצטיירת בפניו תמונה מפלילה, ממנה מתגבשת במלוא עוצמתה ורוחב יריעותיה עבירה של מרמה והפרת אמונים בכל הפרשות בהן התקיימו קשרים בעלי אופי מיני-אינטימי בין שחם לשוטרות" (עמ' 56 לפסק הדין של בית המשפט המחוזי). לשיטת בית המשפט המחוזי, די בהתנהלותו של המבקש ביצירת הקשרים ובקיומם, ובפועלו פעם אחר פעם במצבים של ניגוד עניינים לאחר יצירתם של הקשרים, כדי לגבש את יסודות  העבירה. </w:t>
      </w:r>
    </w:p>
    <w:p w:rsidR="000F3C05" w:rsidRDefault="000F3C05" w:rsidP="000F3C05">
      <w:pPr>
        <w:pStyle w:val="a"/>
        <w:rPr>
          <w:rtl/>
        </w:rPr>
      </w:pPr>
      <w:r>
        <w:rPr>
          <w:rFonts w:hint="cs"/>
          <w:rtl/>
        </w:rPr>
        <w:t xml:space="preserve">למעלה מן הנדרש בחן בית המשפט המחוזי את התקיימותם של חלק ממבחני המשנה שנקבעו בפסיקה לצורך הכרעה בשאלת עוצמת ניגוד העניינים בו היה נתון המבקש. </w:t>
      </w:r>
    </w:p>
    <w:p w:rsidR="000F3C05" w:rsidRDefault="000F3C05" w:rsidP="000F3C05">
      <w:pPr>
        <w:pStyle w:val="af6"/>
        <w:rPr>
          <w:rtl/>
        </w:rPr>
      </w:pPr>
      <w:r>
        <w:rPr>
          <w:rtl/>
        </w:rPr>
        <w:tab/>
      </w:r>
      <w:r>
        <w:rPr>
          <w:rFonts w:hint="cs"/>
          <w:rtl/>
        </w:rPr>
        <w:t xml:space="preserve">אשר למבחן המשנה הראשון </w:t>
      </w:r>
      <w:r>
        <w:rPr>
          <w:rtl/>
        </w:rPr>
        <w:t>–</w:t>
      </w:r>
      <w:r>
        <w:rPr>
          <w:rFonts w:hint="cs"/>
          <w:rtl/>
        </w:rPr>
        <w:t xml:space="preserve"> חלוף הזמן בין מועד היווצרות ניגוד העניינים לבין הפעולה </w:t>
      </w:r>
      <w:r>
        <w:rPr>
          <w:rtl/>
        </w:rPr>
        <w:t>–</w:t>
      </w:r>
      <w:r>
        <w:rPr>
          <w:rFonts w:hint="cs"/>
          <w:rtl/>
        </w:rPr>
        <w:t xml:space="preserve"> נקבע כי בשל אופי הקשרים ומעטה הסוד על קיומם, אין משמעות לחלוף הזמן, וזאת שלא כניגוד עניינים המבוסס על קשר אישי מקצועי קודם, ובדומה לניגוד עניינים המבוסס על קשר משפחתי, שכן "התחושות של שני הצדדים במערכת היחסים </w:t>
      </w:r>
      <w:r>
        <w:rPr>
          <w:rtl/>
        </w:rPr>
        <w:t>–</w:t>
      </w:r>
      <w:r>
        <w:rPr>
          <w:rFonts w:hint="cs"/>
          <w:rtl/>
        </w:rPr>
        <w:t xml:space="preserve"> הן בפן האישי הרגשי, הן בפן הפיזי המיני, עומדות בעיניהן לאורך שנים, ובוודאי שאינן מתכלות ונעלמות בין לילה" (עמ' 58 לפסק דינו של בית המשפט המחוזי). לכן, לשיטת בית המשפט המחוזי, ניגוד העניינים הוא בעוצמה "חריפה" גם כאשר "הקרבה האינטימית עם השוטרות הצטמצמה או נפסקה".  </w:t>
      </w:r>
    </w:p>
    <w:p w:rsidR="000F3C05" w:rsidRDefault="000F3C05" w:rsidP="000F3C05">
      <w:pPr>
        <w:pStyle w:val="af6"/>
        <w:rPr>
          <w:rtl/>
        </w:rPr>
      </w:pPr>
      <w:r>
        <w:rPr>
          <w:rFonts w:hint="cs"/>
          <w:rtl/>
        </w:rPr>
        <w:t xml:space="preserve">בהתייחס למבחן המשנה השני </w:t>
      </w:r>
      <w:r>
        <w:rPr>
          <w:rtl/>
        </w:rPr>
        <w:t>–</w:t>
      </w:r>
      <w:r>
        <w:rPr>
          <w:rFonts w:hint="cs"/>
          <w:rtl/>
        </w:rPr>
        <w:t xml:space="preserve"> אופיו של ניגוד העניינים </w:t>
      </w:r>
      <w:r>
        <w:rPr>
          <w:rtl/>
        </w:rPr>
        <w:t>–</w:t>
      </w:r>
      <w:r>
        <w:rPr>
          <w:rFonts w:hint="cs"/>
          <w:rtl/>
        </w:rPr>
        <w:t xml:space="preserve"> נקבע כי מדובר בניגוד עניינים "עמוק וחריף", לאור מערכות היחסים האינטימיות וסודיותן. הודגש, כי ההבחנה שערך בית משפט השלום בין ניגוד עניינים אישי לניגוד עניינים כלכלי אינה נכונה, שכן ניתן להעלות על הדעת מצבים בהם ניגוד עניינים אישי הוא בעל עוצמה וחומרה לא פחותה מניגוד עניינים כלכלי. </w:t>
      </w:r>
    </w:p>
    <w:p w:rsidR="000F3C05" w:rsidRDefault="000F3C05" w:rsidP="000F3C05">
      <w:pPr>
        <w:pStyle w:val="af6"/>
        <w:rPr>
          <w:rtl/>
        </w:rPr>
      </w:pPr>
      <w:r>
        <w:rPr>
          <w:rtl/>
        </w:rPr>
        <w:lastRenderedPageBreak/>
        <w:tab/>
      </w:r>
      <w:r>
        <w:rPr>
          <w:rFonts w:hint="cs"/>
          <w:rtl/>
        </w:rPr>
        <w:t xml:space="preserve">בעניין מבחן המשנה השלישי </w:t>
      </w:r>
      <w:r>
        <w:rPr>
          <w:rtl/>
        </w:rPr>
        <w:t>–</w:t>
      </w:r>
      <w:r>
        <w:rPr>
          <w:rFonts w:hint="cs"/>
          <w:rtl/>
        </w:rPr>
        <w:t xml:space="preserve"> האם הפעולה נעשתה במסגרת הסמכות הרגילה או בחריגה ממנה </w:t>
      </w:r>
      <w:r>
        <w:rPr>
          <w:rtl/>
        </w:rPr>
        <w:t>–</w:t>
      </w:r>
      <w:r>
        <w:rPr>
          <w:rFonts w:hint="cs"/>
          <w:rtl/>
        </w:rPr>
        <w:t xml:space="preserve"> נקבע כי טעה בית משפט השלום כשייחס למבחן זה משקל מכריע (לאחר שקבע שהמבקש לא סטה מהשורה בהחלטותיו), וזאת כאשר </w:t>
      </w:r>
      <w:proofErr w:type="spellStart"/>
      <w:r>
        <w:rPr>
          <w:rFonts w:hint="cs"/>
          <w:rtl/>
        </w:rPr>
        <w:t>סטיה</w:t>
      </w:r>
      <w:proofErr w:type="spellEnd"/>
      <w:r>
        <w:rPr>
          <w:rFonts w:hint="cs"/>
          <w:rtl/>
        </w:rPr>
        <w:t xml:space="preserve"> מהשורה אינה תנאי הכרחי לגיבושה של העבירה. </w:t>
      </w:r>
    </w:p>
    <w:p w:rsidR="000F3C05" w:rsidRDefault="000F3C05" w:rsidP="000F3C05">
      <w:pPr>
        <w:pStyle w:val="af6"/>
        <w:rPr>
          <w:rtl/>
        </w:rPr>
      </w:pPr>
      <w:r>
        <w:rPr>
          <w:rtl/>
        </w:rPr>
        <w:tab/>
      </w:r>
      <w:r>
        <w:rPr>
          <w:rFonts w:hint="cs"/>
          <w:rtl/>
        </w:rPr>
        <w:t xml:space="preserve">אשר למבחן המשנה השישי </w:t>
      </w:r>
      <w:r>
        <w:rPr>
          <w:rtl/>
        </w:rPr>
        <w:t>–</w:t>
      </w:r>
      <w:r>
        <w:rPr>
          <w:rFonts w:hint="cs"/>
          <w:rtl/>
        </w:rPr>
        <w:t xml:space="preserve"> "מבחן התוצאה", הבוחן האם חרף ניגוד העניינים הגשים עובד הציבור את האינטרס הציבורי עליו הוא מופקד </w:t>
      </w:r>
      <w:r>
        <w:rPr>
          <w:rtl/>
        </w:rPr>
        <w:t>–</w:t>
      </w:r>
      <w:r>
        <w:rPr>
          <w:rFonts w:hint="cs"/>
          <w:rtl/>
        </w:rPr>
        <w:t xml:space="preserve"> נקבע כי בית משפט השלום נתן לו משקל מכריע, בניגוד להלכה הפסוקה, לפיה ניגוד העניינים אינו תלוי בתוצאות פעולותיו של עובד הציבור.</w:t>
      </w:r>
    </w:p>
    <w:p w:rsidR="000F3C05" w:rsidRDefault="000F3C05" w:rsidP="000F3C05">
      <w:pPr>
        <w:pStyle w:val="a"/>
        <w:rPr>
          <w:rtl/>
        </w:rPr>
      </w:pPr>
      <w:r>
        <w:rPr>
          <w:rFonts w:hint="cs"/>
          <w:rtl/>
        </w:rPr>
        <w:t xml:space="preserve">לבסוף, הובהר כי בניגוד לקביעת בית משפט השלום, פעולותיו של המבקש בעניינן של השוטרות </w:t>
      </w:r>
      <w:proofErr w:type="spellStart"/>
      <w:r>
        <w:rPr>
          <w:rFonts w:hint="cs"/>
          <w:rtl/>
        </w:rPr>
        <w:t>עימן</w:t>
      </w:r>
      <w:proofErr w:type="spellEnd"/>
      <w:r>
        <w:rPr>
          <w:rFonts w:hint="cs"/>
          <w:rtl/>
        </w:rPr>
        <w:t xml:space="preserve"> ניהל קשר אינטימי אינן "מינוריות יחסית" (עמ' 5 להכרעת דינו של בית משפט השלום; עמ' 73 לפסק דינו של בית המשפט המחוזי), שכן החלטות אלו היו "הרות גורל" עבור אותן שוטרות, ומכל מקום, אין בכך כדי להשפיע על מידת עוצמת ניגוד העניינים, בפרט כאשר מדובר בעובד ציבור בכיר דוגמת המבקש. </w:t>
      </w:r>
    </w:p>
    <w:p w:rsidR="000F3C05" w:rsidRDefault="000F3C05" w:rsidP="000F3C05">
      <w:pPr>
        <w:pStyle w:val="af6"/>
        <w:rPr>
          <w:rtl/>
        </w:rPr>
      </w:pPr>
      <w:r>
        <w:rPr>
          <w:rtl/>
        </w:rPr>
        <w:tab/>
      </w:r>
      <w:r>
        <w:rPr>
          <w:rFonts w:hint="cs"/>
          <w:rtl/>
        </w:rPr>
        <w:t xml:space="preserve">מכל הטעמים הללו, ובפרט לנוכח תפקידיו ומעמדו של המבקש במשטרה, וטיבו של ניגוד העניינים המבוסס על קשרים אישיים אינטימיים </w:t>
      </w:r>
      <w:r>
        <w:rPr>
          <w:rtl/>
        </w:rPr>
        <w:t>–</w:t>
      </w:r>
      <w:r>
        <w:rPr>
          <w:rFonts w:hint="cs"/>
          <w:rtl/>
        </w:rPr>
        <w:t xml:space="preserve"> הגיע בית המשפט המחוזי למסקנה לפיה עוצמת ניגוד העניינים שבה היה נתון המבקש עת פעל בעניינן של השוטרות חוצה את הרף הפלילי.</w:t>
      </w:r>
    </w:p>
    <w:p w:rsidR="000F3C05" w:rsidRDefault="000F3C05" w:rsidP="000F3C05">
      <w:pPr>
        <w:pStyle w:val="a"/>
        <w:rPr>
          <w:rtl/>
        </w:rPr>
      </w:pPr>
      <w:r w:rsidRPr="00DC738A">
        <w:rPr>
          <w:rFonts w:ascii="Century" w:hAnsi="Century" w:cs="Miriam" w:hint="cs"/>
          <w:b/>
          <w:spacing w:val="0"/>
          <w:szCs w:val="24"/>
          <w:rtl/>
        </w:rPr>
        <w:t>אשר לשאלה הש</w:t>
      </w:r>
      <w:r>
        <w:rPr>
          <w:rFonts w:ascii="Century" w:hAnsi="Century" w:cs="Miriam" w:hint="cs"/>
          <w:b/>
          <w:spacing w:val="0"/>
          <w:szCs w:val="24"/>
          <w:rtl/>
        </w:rPr>
        <w:t xml:space="preserve">לישית </w:t>
      </w:r>
      <w:r>
        <w:rPr>
          <w:rFonts w:ascii="Century" w:hAnsi="Century" w:cs="Miriam"/>
          <w:b/>
          <w:spacing w:val="0"/>
          <w:szCs w:val="24"/>
          <w:rtl/>
        </w:rPr>
        <w:t>–</w:t>
      </w:r>
      <w:r>
        <w:rPr>
          <w:rFonts w:ascii="Century" w:hAnsi="Century" w:cs="Miriam" w:hint="cs"/>
          <w:b/>
          <w:spacing w:val="0"/>
          <w:szCs w:val="24"/>
          <w:rtl/>
        </w:rPr>
        <w:t xml:space="preserve"> </w:t>
      </w:r>
      <w:r>
        <w:rPr>
          <w:rFonts w:hint="cs"/>
          <w:rtl/>
        </w:rPr>
        <w:t xml:space="preserve">נקבע כי קיימת הצדקה עקרונית להחלת </w:t>
      </w:r>
      <w:r w:rsidRPr="001E6C96">
        <w:rPr>
          <w:rFonts w:ascii="Century" w:hAnsi="Century" w:cs="Miriam" w:hint="cs"/>
          <w:b/>
          <w:spacing w:val="0"/>
          <w:szCs w:val="24"/>
          <w:rtl/>
        </w:rPr>
        <w:t>תזת הצבירה</w:t>
      </w:r>
      <w:r w:rsidRPr="001E6C96">
        <w:rPr>
          <w:rFonts w:hint="cs"/>
          <w:rtl/>
        </w:rPr>
        <w:t xml:space="preserve"> </w:t>
      </w:r>
      <w:r>
        <w:rPr>
          <w:rFonts w:hint="cs"/>
          <w:rtl/>
        </w:rPr>
        <w:t>דווקא בעבירה של מרמה והפרת אמונים, בה מתבקש לבחון את מכלול מעשיו והתנהלותו של עובד הציבור, וכי "בנסיבותיו המיוחדות של המקרה שלפנינו, ניתן ואף ראוי לצבור אסופת ניגודי עניינים שבהם היה נתון שחם, אף אם היינו סבורים שאינם פליליים, כל אחד כשלעצמו, לכדי עבירה פלילית אחת של מרמה והפרת אמונים" (עמ' 87 לפסק דינו של בית המשפט המחוזי).</w:t>
      </w:r>
    </w:p>
    <w:p w:rsidR="000F3C05" w:rsidRDefault="000F3C05" w:rsidP="000F3C05">
      <w:pPr>
        <w:pStyle w:val="af6"/>
        <w:rPr>
          <w:rtl/>
        </w:rPr>
      </w:pPr>
      <w:r>
        <w:rPr>
          <w:rtl/>
        </w:rPr>
        <w:tab/>
      </w:r>
      <w:r>
        <w:rPr>
          <w:rFonts w:hint="cs"/>
          <w:rtl/>
        </w:rPr>
        <w:t>בית המשפט המחוזי דחה את האנלוגיה שערך בית משפט השלום לעבירה של החזקת סם לצריכה עצמית, בנימוק שעבירת המרמה והפרת אמונים אינה נעברת בנקודת זמן אחת, אלא עשויה להתפרש על פני תקופה ארוכה וממושכת, ולכן ניתן "לצבור" מספר התנהגויות המקיימות אותה. כמו כן, לשיטת בית המשפט המחוזי, בשל גבולותיה העמומים של העבירה, אין מנוס אלא לבחון "</w:t>
      </w:r>
      <w:r w:rsidRPr="006436C2">
        <w:rPr>
          <w:rFonts w:ascii="Century" w:hAnsi="Century" w:cs="Miriam" w:hint="cs"/>
          <w:b/>
          <w:spacing w:val="0"/>
          <w:szCs w:val="24"/>
          <w:rtl/>
        </w:rPr>
        <w:t>בחינה כוללת</w:t>
      </w:r>
      <w:r>
        <w:rPr>
          <w:rFonts w:hint="cs"/>
          <w:rtl/>
        </w:rPr>
        <w:t xml:space="preserve"> של מעשיו והתנהלותו של עובד הציבור כדי להכריע ביחס להתקיימותה או אי התקיימותה", בפרט כאשר "היסוד </w:t>
      </w:r>
      <w:r>
        <w:rPr>
          <w:rFonts w:hint="cs"/>
          <w:rtl/>
        </w:rPr>
        <w:lastRenderedPageBreak/>
        <w:t xml:space="preserve">הנורמטיבי בדמות הפגיעה המהותית הוא היסוד המעורפל והבעייתי, והוא שקורא לבתי המשפט ליצוק לתוכו תוכן באופן שיעניק לו משמעות מעבר לקונספט הצר" (עמ' 79 לפסק דינו של בית המשפט המחוזי; ההדגשה הוספה </w:t>
      </w:r>
      <w:r>
        <w:rPr>
          <w:rtl/>
        </w:rPr>
        <w:t>–</w:t>
      </w:r>
      <w:r>
        <w:rPr>
          <w:rFonts w:hint="cs"/>
          <w:rtl/>
        </w:rPr>
        <w:t xml:space="preserve"> </w:t>
      </w:r>
      <w:r w:rsidRPr="006436C2">
        <w:rPr>
          <w:rFonts w:ascii="Century" w:hAnsi="Century" w:cs="Miriam" w:hint="cs"/>
          <w:b/>
          <w:spacing w:val="0"/>
          <w:szCs w:val="24"/>
          <w:rtl/>
        </w:rPr>
        <w:t>י' א'</w:t>
      </w:r>
      <w:r>
        <w:rPr>
          <w:rFonts w:hint="cs"/>
          <w:rtl/>
        </w:rPr>
        <w:t>).</w:t>
      </w:r>
    </w:p>
    <w:p w:rsidR="000F3C05" w:rsidRDefault="000F3C05" w:rsidP="000F3C05">
      <w:pPr>
        <w:pStyle w:val="a"/>
        <w:rPr>
          <w:rtl/>
        </w:rPr>
      </w:pPr>
      <w:r w:rsidRPr="00991AD1">
        <w:rPr>
          <w:rFonts w:hint="cs"/>
          <w:rtl/>
        </w:rPr>
        <w:t xml:space="preserve">בסיכומו של דבר </w:t>
      </w:r>
      <w:r>
        <w:rPr>
          <w:rFonts w:hint="cs"/>
          <w:rtl/>
        </w:rPr>
        <w:t xml:space="preserve">נקבע כי: </w:t>
      </w:r>
    </w:p>
    <w:p w:rsidR="000F3C05" w:rsidRDefault="000F3C05" w:rsidP="00DB4514">
      <w:pPr>
        <w:pStyle w:val="af2"/>
        <w:rPr>
          <w:rtl/>
        </w:rPr>
      </w:pPr>
      <w:r>
        <w:rPr>
          <w:rFonts w:hint="cs"/>
          <w:rtl/>
        </w:rPr>
        <w:t xml:space="preserve">"די בדפוס ההתנהלות של שחם ביצירת קשרים אינטימיים עם שוטרות צעירות, תוך שמירתם בסוד, תוך הפרת האיסורים על קיום יחסים ותוך העמדת עצמו במצב פוטנציאלי של ניגוד עניינים כדי להרשיעו בעבירה של הפרת אמונים. ודאי די בדפוס התנהלותו ופועלו, פעם אחר פעם, במצב של ניגוד עניינים לאחר יצירת הקשרים וקיומם. על אחת כמה וכמה, כששני הדפוסים משתלבים גם יחד, ודאי שהם עולים כדי עבירה אחת של מרמה והפרת אמונים" (עמ' </w:t>
      </w:r>
      <w:r w:rsidR="00DB4514">
        <w:rPr>
          <w:rFonts w:hint="cs"/>
          <w:rtl/>
        </w:rPr>
        <w:t>87</w:t>
      </w:r>
      <w:r w:rsidR="00DB4514">
        <w:rPr>
          <w:rtl/>
        </w:rPr>
        <w:t>–</w:t>
      </w:r>
      <w:r w:rsidR="00DB4514">
        <w:rPr>
          <w:rFonts w:hint="cs"/>
          <w:rtl/>
        </w:rPr>
        <w:t xml:space="preserve">88 </w:t>
      </w:r>
      <w:r>
        <w:rPr>
          <w:rFonts w:hint="cs"/>
          <w:rtl/>
        </w:rPr>
        <w:t xml:space="preserve">לפסק דינו של בית המשפט המחוזי). </w:t>
      </w:r>
    </w:p>
    <w:p w:rsidR="000F3C05" w:rsidRDefault="000F3C05" w:rsidP="000F3C05">
      <w:pPr>
        <w:pStyle w:val="af6"/>
        <w:rPr>
          <w:rtl/>
        </w:rPr>
      </w:pPr>
      <w:r>
        <w:rPr>
          <w:rtl/>
        </w:rPr>
        <w:tab/>
      </w:r>
      <w:r>
        <w:rPr>
          <w:rFonts w:hint="cs"/>
          <w:rtl/>
        </w:rPr>
        <w:t xml:space="preserve">לנוכח הרשעתו של המבקש בשתי עבירות נוספות, </w:t>
      </w:r>
      <w:r w:rsidR="0091244D">
        <w:rPr>
          <w:rFonts w:hint="cs"/>
          <w:rtl/>
        </w:rPr>
        <w:t xml:space="preserve">של מרמה והפרת אמונים והטרדה מינית, </w:t>
      </w:r>
      <w:r>
        <w:rPr>
          <w:rFonts w:hint="cs"/>
          <w:rtl/>
        </w:rPr>
        <w:t>כמתואר לעיל, הושב התיק לבית משפט השלום על מנת שיגזור את דינו.</w:t>
      </w:r>
    </w:p>
    <w:p w:rsidR="000F3C05" w:rsidRDefault="000F3C05" w:rsidP="000F3C05">
      <w:pPr>
        <w:pStyle w:val="1"/>
        <w:spacing w:before="360" w:after="360"/>
        <w:rPr>
          <w:rtl/>
        </w:rPr>
      </w:pPr>
      <w:r w:rsidRPr="00D962E6">
        <w:rPr>
          <w:rFonts w:hint="cs"/>
          <w:rtl/>
        </w:rPr>
        <w:t>גזר דינו של בית משפט השלום</w:t>
      </w:r>
    </w:p>
    <w:p w:rsidR="000F3C05" w:rsidRDefault="000F3C05" w:rsidP="000F3C05">
      <w:pPr>
        <w:pStyle w:val="a"/>
        <w:rPr>
          <w:rtl/>
        </w:rPr>
      </w:pPr>
      <w:r w:rsidRPr="00E57F28">
        <w:rPr>
          <w:rFonts w:hint="cs"/>
          <w:rtl/>
        </w:rPr>
        <w:t xml:space="preserve">בגזר דינו מיום 10.2.2020 עמד בית משפט השלום (השופט </w:t>
      </w:r>
      <w:r w:rsidRPr="00E57F28">
        <w:rPr>
          <w:rFonts w:ascii="Century" w:hAnsi="Century" w:cs="Miriam" w:hint="cs"/>
          <w:b/>
          <w:spacing w:val="0"/>
          <w:szCs w:val="24"/>
          <w:rtl/>
        </w:rPr>
        <w:t>ש' מלמד</w:t>
      </w:r>
      <w:r w:rsidRPr="00E57F28">
        <w:rPr>
          <w:rFonts w:hint="cs"/>
          <w:rtl/>
        </w:rPr>
        <w:t xml:space="preserve">) על </w:t>
      </w:r>
      <w:r>
        <w:rPr>
          <w:rFonts w:hint="cs"/>
          <w:rtl/>
        </w:rPr>
        <w:t>הפגיעה הקשה ב</w:t>
      </w:r>
      <w:r w:rsidRPr="00E57F28">
        <w:rPr>
          <w:rFonts w:hint="cs"/>
          <w:rtl/>
        </w:rPr>
        <w:t xml:space="preserve">ערך המוגן של אמון הציבור </w:t>
      </w:r>
      <w:r>
        <w:rPr>
          <w:rFonts w:hint="cs"/>
          <w:rtl/>
        </w:rPr>
        <w:t>שנגרמה</w:t>
      </w:r>
      <w:r w:rsidRPr="00E57F28">
        <w:rPr>
          <w:rFonts w:hint="cs"/>
          <w:rtl/>
        </w:rPr>
        <w:t xml:space="preserve"> כתוצאה מעבירת הפרת האמונים בה הורשע המבקש</w:t>
      </w:r>
      <w:r>
        <w:rPr>
          <w:rFonts w:hint="cs"/>
          <w:rtl/>
        </w:rPr>
        <w:t xml:space="preserve">, לצד הפגיעה בערכים המוגנים של שלוות נפשה של המתלוננת והאוטונומיה שלה על גופה, שנפגעו כולם כתוצאה מביצוע העבירות הנוספות בהן הורשע המבקש. </w:t>
      </w:r>
    </w:p>
    <w:p w:rsidR="000F3C05" w:rsidRDefault="000F3C05" w:rsidP="000F3C05">
      <w:pPr>
        <w:pStyle w:val="af6"/>
        <w:rPr>
          <w:rtl/>
        </w:rPr>
      </w:pPr>
      <w:r>
        <w:rPr>
          <w:rtl/>
        </w:rPr>
        <w:tab/>
      </w:r>
      <w:r>
        <w:rPr>
          <w:rFonts w:hint="cs"/>
          <w:rtl/>
        </w:rPr>
        <w:t>הגם שהמבקש הורשע ב</w:t>
      </w:r>
      <w:r w:rsidRPr="00B24B6F">
        <w:rPr>
          <w:rFonts w:ascii="Century" w:hAnsi="Century" w:cs="Miriam" w:hint="cs"/>
          <w:b/>
          <w:spacing w:val="0"/>
          <w:szCs w:val="24"/>
          <w:rtl/>
        </w:rPr>
        <w:t xml:space="preserve">עבירה אחת </w:t>
      </w:r>
      <w:r>
        <w:rPr>
          <w:rFonts w:hint="cs"/>
          <w:rtl/>
        </w:rPr>
        <w:t xml:space="preserve">של מרמה והפרת אמונים, הודגש כי מעשיו בוצעו במסגרת </w:t>
      </w:r>
      <w:r w:rsidRPr="00B24B6F">
        <w:rPr>
          <w:rFonts w:ascii="Century" w:hAnsi="Century" w:cs="Miriam" w:hint="cs"/>
          <w:b/>
          <w:spacing w:val="0"/>
          <w:szCs w:val="24"/>
          <w:rtl/>
        </w:rPr>
        <w:t xml:space="preserve">אירועים </w:t>
      </w:r>
      <w:r>
        <w:rPr>
          <w:rFonts w:ascii="Century" w:hAnsi="Century" w:cs="Miriam" w:hint="cs"/>
          <w:b/>
          <w:spacing w:val="0"/>
          <w:szCs w:val="24"/>
          <w:rtl/>
        </w:rPr>
        <w:t>שונים ו</w:t>
      </w:r>
      <w:r w:rsidRPr="00B24B6F">
        <w:rPr>
          <w:rFonts w:ascii="Century" w:hAnsi="Century" w:cs="Miriam" w:hint="cs"/>
          <w:b/>
          <w:spacing w:val="0"/>
          <w:szCs w:val="24"/>
          <w:rtl/>
        </w:rPr>
        <w:t>נפרדים</w:t>
      </w:r>
      <w:r>
        <w:rPr>
          <w:rFonts w:hint="cs"/>
          <w:rtl/>
        </w:rPr>
        <w:t>, כאשר בכל אחד מהם העמיד עצמו המבקש במצב של ניגוד עניינים באופן שהביא לפגיעה קשה בערך המוגן, ועל כן, לשיטת בית המשפט, "צבירת המעשים והצגת מתחם אחד יש בה כדי להקל עם הנאשם" (פסקה 18 לגזר הדין). מכל מקום, משהמשיבה עתרה למתחם ענישה אחד, קבע בית המשפט, לאחר שסקר את מדיניות הענישה הנוהגת, כי מתחם הענישה ההולם לשלוש העבירות בהן הורשע המבקש גם יחד הוא בין מאסר שירוצה בדרך של עבירות שירות ל-18 חודשי מאסר בפועל.</w:t>
      </w:r>
    </w:p>
    <w:p w:rsidR="000F3C05" w:rsidRDefault="000F3C05" w:rsidP="000F3C05">
      <w:pPr>
        <w:pStyle w:val="a"/>
        <w:rPr>
          <w:rtl/>
        </w:rPr>
      </w:pPr>
      <w:r>
        <w:rPr>
          <w:rFonts w:hint="cs"/>
          <w:rtl/>
        </w:rPr>
        <w:lastRenderedPageBreak/>
        <w:t xml:space="preserve">בגזירת עונשו של המבקש בתוך המתחם התחשב בית המשפט בהיותו של המבקש נעדר עבר פלילי; בפגיעה הקשה שתיגרם למשפחתו עם מאסרו; בנזק שכבר נגרם לו עם פיטוריו מהמשטרה; בשיתוף הפעולה שלו עם רשויות החקירה; בתרומתו הרבה לחברה במהלך שירותו רב השנים במשטרה; ובמידה מסוימת גם בחלוף הזמן הרב מאז ביצוע העבירות. מאידך שקל בית המשפט את העובדה שהמבקש לא לקח אחריות על מעשיו ולא השכיל להבין את הפסול שבהם; את ריבוי המעשים; ואת הצורך בהרתעת הרבים. </w:t>
      </w:r>
    </w:p>
    <w:p w:rsidR="000F3C05" w:rsidRPr="0091244D" w:rsidRDefault="000F3C05" w:rsidP="000F3C05">
      <w:pPr>
        <w:pStyle w:val="af6"/>
        <w:rPr>
          <w:spacing w:val="12"/>
          <w:rtl/>
        </w:rPr>
      </w:pPr>
      <w:r w:rsidRPr="0091244D">
        <w:rPr>
          <w:spacing w:val="12"/>
          <w:rtl/>
        </w:rPr>
        <w:tab/>
      </w:r>
      <w:r w:rsidRPr="0091244D">
        <w:rPr>
          <w:rFonts w:hint="cs"/>
          <w:spacing w:val="12"/>
          <w:rtl/>
        </w:rPr>
        <w:t>לנוכח כל האמור, נקבע כי "יש למקם את הנאשם במרכז מתחם הענישה" (פסקה 28 לגזר הדין), ועונשו נגזר ל-10 חודשי מאסר בפועל; 5 חודשי מאסר על תנאי למשך שלוש שנים, לבל יעבור עבירה של מרמה והפרת אמונים או עבירה של מעשה מגונה; 3 חודשי מאסר על תנאי למשך שלוש שנים, לבל יעבור עבירה של הטרדה מינית; קנס בסך</w:t>
      </w:r>
      <w:r w:rsidR="002B1D24">
        <w:rPr>
          <w:rFonts w:hint="cs"/>
          <w:spacing w:val="12"/>
          <w:rtl/>
        </w:rPr>
        <w:t xml:space="preserve"> 7,500 ש"ח או 75 ימי מאסר תמורתו</w:t>
      </w:r>
      <w:r w:rsidRPr="0091244D">
        <w:rPr>
          <w:rFonts w:hint="cs"/>
          <w:spacing w:val="12"/>
          <w:rtl/>
        </w:rPr>
        <w:t xml:space="preserve">; פיצוי לשוטרות ו.ו. ו-ח.ח. בסך 1,500 ש"ח כל אחת, ופיצוי לשוטרת ז.ז. בסך 500 ש"ח. </w:t>
      </w:r>
    </w:p>
    <w:p w:rsidR="000F3C05" w:rsidRDefault="000F3C05" w:rsidP="000F3C05">
      <w:pPr>
        <w:pStyle w:val="1"/>
        <w:spacing w:before="360" w:after="360"/>
        <w:rPr>
          <w:rtl/>
        </w:rPr>
      </w:pPr>
      <w:r w:rsidRPr="00D962E6">
        <w:rPr>
          <w:rFonts w:hint="cs"/>
          <w:rtl/>
        </w:rPr>
        <w:t>פסק דינו של בית המשפט המחוזי בערעור על גזר הדין</w:t>
      </w:r>
    </w:p>
    <w:p w:rsidR="000F3C05" w:rsidRDefault="000F3C05" w:rsidP="000F3C05">
      <w:pPr>
        <w:pStyle w:val="a"/>
        <w:rPr>
          <w:rtl/>
        </w:rPr>
      </w:pPr>
      <w:r w:rsidRPr="00AB0770">
        <w:rPr>
          <w:rFonts w:hint="cs"/>
          <w:rtl/>
        </w:rPr>
        <w:t xml:space="preserve">בית המשפט המחוזי </w:t>
      </w:r>
      <w:r>
        <w:rPr>
          <w:rFonts w:hint="cs"/>
          <w:rtl/>
        </w:rPr>
        <w:t xml:space="preserve">(מפי השופט </w:t>
      </w:r>
      <w:r w:rsidRPr="00E72F27">
        <w:rPr>
          <w:rFonts w:ascii="Century" w:hAnsi="Century" w:cs="Miriam" w:hint="cs"/>
          <w:b/>
          <w:spacing w:val="0"/>
          <w:szCs w:val="24"/>
          <w:rtl/>
        </w:rPr>
        <w:t>מ' לוי</w:t>
      </w:r>
      <w:r>
        <w:rPr>
          <w:rFonts w:hint="cs"/>
          <w:rtl/>
        </w:rPr>
        <w:t xml:space="preserve">, ובהסכמת השופטות </w:t>
      </w:r>
      <w:r w:rsidRPr="00E72F27">
        <w:rPr>
          <w:rFonts w:ascii="Century" w:hAnsi="Century" w:cs="Miriam" w:hint="cs"/>
          <w:b/>
          <w:spacing w:val="0"/>
          <w:szCs w:val="24"/>
          <w:rtl/>
        </w:rPr>
        <w:t>מ' דיסקין</w:t>
      </w:r>
      <w:r w:rsidRPr="00E72F27">
        <w:rPr>
          <w:rFonts w:hint="cs"/>
          <w:rtl/>
        </w:rPr>
        <w:t xml:space="preserve"> </w:t>
      </w:r>
      <w:r>
        <w:rPr>
          <w:rFonts w:hint="cs"/>
          <w:rtl/>
        </w:rPr>
        <w:t>ו</w:t>
      </w:r>
      <w:r w:rsidRPr="00E72F27">
        <w:rPr>
          <w:rFonts w:ascii="Century" w:hAnsi="Century" w:cs="Miriam" w:hint="cs"/>
          <w:b/>
          <w:spacing w:val="0"/>
          <w:szCs w:val="24"/>
          <w:rtl/>
        </w:rPr>
        <w:t>ג' רביד</w:t>
      </w:r>
      <w:r>
        <w:rPr>
          <w:rFonts w:hint="cs"/>
          <w:rtl/>
        </w:rPr>
        <w:t xml:space="preserve">) </w:t>
      </w:r>
      <w:r w:rsidRPr="00AB0770">
        <w:rPr>
          <w:rFonts w:hint="cs"/>
          <w:rtl/>
        </w:rPr>
        <w:t>דחה בפסק דינו מיום 14.7.2020 את ערעור המבקש על גזר הדין, למעט ב</w:t>
      </w:r>
      <w:r>
        <w:rPr>
          <w:rFonts w:hint="cs"/>
          <w:rtl/>
        </w:rPr>
        <w:t>עניין</w:t>
      </w:r>
      <w:r w:rsidRPr="00AB0770">
        <w:rPr>
          <w:rFonts w:hint="cs"/>
          <w:rtl/>
        </w:rPr>
        <w:t xml:space="preserve"> הפיצוי שנפסק בטעות לשוטרת ח.ח., אשר כלל לא התבקש על ידי המשיבה. </w:t>
      </w:r>
    </w:p>
    <w:p w:rsidR="000F3C05" w:rsidRDefault="000F3C05" w:rsidP="000F3C05">
      <w:pPr>
        <w:pStyle w:val="af6"/>
        <w:rPr>
          <w:rtl/>
        </w:rPr>
      </w:pPr>
      <w:r>
        <w:rPr>
          <w:rtl/>
        </w:rPr>
        <w:tab/>
      </w:r>
      <w:r>
        <w:rPr>
          <w:rFonts w:hint="cs"/>
          <w:rtl/>
        </w:rPr>
        <w:t xml:space="preserve">בית המשפט דחה את טענות המבקש לאחר שדן בהן אחת לאחת, ובין היתר את הטענות לפיהן נפלו טעויות מהותיות בגזר דינו של בית משפט השלום המצדיקות את התערבותה של ערכאת הערעור, וקבע כי מדובר ב"טעויות טכניות ושוליות שאחת מהן היא טעות סמנטית" (עמ' 9 לפסק דינו של בית המשפט המחוזי). </w:t>
      </w:r>
    </w:p>
    <w:p w:rsidR="000F3C05" w:rsidRDefault="000F3C05" w:rsidP="000F3C05">
      <w:pPr>
        <w:pStyle w:val="af6"/>
        <w:rPr>
          <w:rtl/>
        </w:rPr>
      </w:pPr>
      <w:r>
        <w:rPr>
          <w:rtl/>
        </w:rPr>
        <w:tab/>
      </w:r>
      <w:r>
        <w:rPr>
          <w:rFonts w:hint="cs"/>
          <w:rtl/>
        </w:rPr>
        <w:t>אשר לטענת המבקש לפיה בית משפט השלום התייחס לריבוי המעשים כנסיבה מחמירה, כאשר המבקש הורשע בעבירה אחת בלבד של מרמה והפרת אמונים, נקבע כי יש להבחין בין שלב הכרעת הדין לשלב גזר הדין, כאשר לעניין גזר הדין מדובר ב"סדרה של מעשים שכוונו כלפי שוטרות שונות במועדים רבים, באירועים לא מעטים במהלך שנים ארוכות" (שם, בעמ' 12).</w:t>
      </w:r>
    </w:p>
    <w:p w:rsidR="000F3C05" w:rsidRDefault="000F3C05" w:rsidP="000F3C05">
      <w:pPr>
        <w:pStyle w:val="af6"/>
        <w:rPr>
          <w:rtl/>
        </w:rPr>
      </w:pPr>
      <w:r>
        <w:rPr>
          <w:rtl/>
        </w:rPr>
        <w:tab/>
      </w:r>
      <w:r>
        <w:rPr>
          <w:rFonts w:hint="cs"/>
          <w:rtl/>
        </w:rPr>
        <w:t xml:space="preserve">עוד נדחתה הטענה לפיה בית משפט השלום החמיר עם המבקש בהשוואה לעונש שעמד על הפרק בשעה שהציע בית המשפט המחוזי למבקש להסכים לקבלת ערעור </w:t>
      </w:r>
      <w:r>
        <w:rPr>
          <w:rFonts w:hint="cs"/>
          <w:rtl/>
        </w:rPr>
        <w:lastRenderedPageBreak/>
        <w:t>המשיבה על הכרעת הדין ולחזור בו מערעורו, שאז הוצע למבקש כי בית המשפט ימליץ למשיבה להסכים כי יושת עליו עונש שיבוצע בדרך של עבודות שירות. נקבע בהקשר זה כי ההצעה האמורה אינה רלוונטית לשלב זה של הדיון, בפרט כאשר המבקש הורשע בסופו של דבר גם בעבירה של הטרדה מינית.</w:t>
      </w:r>
    </w:p>
    <w:p w:rsidR="000F3C05" w:rsidRDefault="000F3C05" w:rsidP="000F3C05">
      <w:pPr>
        <w:pStyle w:val="af6"/>
        <w:rPr>
          <w:rtl/>
        </w:rPr>
      </w:pPr>
      <w:r>
        <w:rPr>
          <w:rFonts w:hint="cs"/>
          <w:rtl/>
        </w:rPr>
        <w:t>לבסוף, דחה בית המשפט המחוזי גם את טענת המבקש לפיה העונש שהושת עליו סוטה ממדיניות הענישה הנוהגת, תוך שצוין כי המקרים אליהם הפנה המבקש שונים בנסיבותיהם, או שבהם הגיעו הצדדים לכדי הסדר טיעון שכלל הסכמה לעניין העונש, או שדובר בהם על נאשמים שנטלו אחריות על מעשיהם. הודגש, כי "</w:t>
      </w:r>
      <w:r w:rsidRPr="00A81C24">
        <w:rPr>
          <w:rFonts w:ascii="Century" w:hAnsi="Century" w:cs="Miriam" w:hint="cs"/>
          <w:b/>
          <w:spacing w:val="0"/>
          <w:szCs w:val="24"/>
          <w:rtl/>
        </w:rPr>
        <w:t>אילו</w:t>
      </w:r>
      <w:r>
        <w:rPr>
          <w:rFonts w:hint="cs"/>
          <w:rtl/>
        </w:rPr>
        <w:t xml:space="preserve"> הודה המערער ונטל אחריות על מעשי העבירות שביצע </w:t>
      </w:r>
      <w:r>
        <w:rPr>
          <w:rtl/>
        </w:rPr>
        <w:t>–</w:t>
      </w:r>
      <w:r>
        <w:rPr>
          <w:rFonts w:hint="cs"/>
          <w:rtl/>
        </w:rPr>
        <w:t xml:space="preserve"> ובכך היה גם מבטא ערכית מסר ציבורי חשוב, בעיקר על רקע המעמד שהיה לו במשטרה </w:t>
      </w:r>
      <w:r>
        <w:rPr>
          <w:rtl/>
        </w:rPr>
        <w:t>–</w:t>
      </w:r>
      <w:r>
        <w:rPr>
          <w:rFonts w:hint="cs"/>
          <w:rtl/>
        </w:rPr>
        <w:t xml:space="preserve"> היה מקום למקם את עונשו </w:t>
      </w:r>
      <w:r w:rsidRPr="00A81C24">
        <w:rPr>
          <w:rFonts w:ascii="Century" w:hAnsi="Century" w:cs="Miriam" w:hint="cs"/>
          <w:b/>
          <w:spacing w:val="0"/>
          <w:szCs w:val="24"/>
          <w:rtl/>
        </w:rPr>
        <w:t>במקום נמוך יותר ממרכז המתחם</w:t>
      </w:r>
      <w:r>
        <w:rPr>
          <w:rFonts w:hint="cs"/>
          <w:rtl/>
        </w:rPr>
        <w:t xml:space="preserve">" (שם, בעמ' 22; ההדגשה במקור). </w:t>
      </w:r>
    </w:p>
    <w:p w:rsidR="000F3C05" w:rsidRDefault="000F3C05" w:rsidP="000F3C05">
      <w:pPr>
        <w:pStyle w:val="af6"/>
        <w:keepNext/>
        <w:rPr>
          <w:rtl/>
        </w:rPr>
      </w:pPr>
      <w:r>
        <w:rPr>
          <w:rtl/>
        </w:rPr>
        <w:tab/>
      </w:r>
      <w:r>
        <w:rPr>
          <w:rFonts w:hint="cs"/>
          <w:rtl/>
        </w:rPr>
        <w:t xml:space="preserve">בסיכומו של דבר נקבע כי: </w:t>
      </w:r>
    </w:p>
    <w:p w:rsidR="000F3C05" w:rsidRDefault="000F3C05" w:rsidP="000F3C05">
      <w:pPr>
        <w:pStyle w:val="af2"/>
        <w:keepNext/>
        <w:rPr>
          <w:rtl/>
        </w:rPr>
      </w:pPr>
      <w:r>
        <w:rPr>
          <w:rFonts w:hint="cs"/>
          <w:rtl/>
        </w:rPr>
        <w:t xml:space="preserve">"העונש שהושת על המערער [המבקש </w:t>
      </w:r>
      <w:r>
        <w:rPr>
          <w:rtl/>
        </w:rPr>
        <w:t>–</w:t>
      </w:r>
      <w:r>
        <w:rPr>
          <w:rFonts w:hint="cs"/>
          <w:rtl/>
        </w:rPr>
        <w:t xml:space="preserve"> </w:t>
      </w:r>
      <w:r w:rsidRPr="00F077BF">
        <w:rPr>
          <w:rFonts w:ascii="Century" w:hAnsi="Century" w:cs="Miriam" w:hint="cs"/>
          <w:b/>
          <w:spacing w:val="0"/>
          <w:szCs w:val="24"/>
          <w:rtl/>
        </w:rPr>
        <w:t>י' א'</w:t>
      </w:r>
      <w:r>
        <w:rPr>
          <w:rFonts w:hint="cs"/>
          <w:rtl/>
        </w:rPr>
        <w:t xml:space="preserve">] אינו קל, אך הוא הולם את חומרת העבירות שבהן הורשע, את ריבוי מעשי העבירות, את מכלול הנסיבות של העבירות ואת התנהלותו הכוללת, הסדרתית והנפסדת של המערער, לאורך מספר רב של שנים, כלפי שמונה שוטרות צעירות וזוטרות, בהיותו בדרגה בכירה ביותר במשטרה, האמונה על שמירת החוק </w:t>
      </w:r>
      <w:r>
        <w:rPr>
          <w:rtl/>
        </w:rPr>
        <w:t>–</w:t>
      </w:r>
      <w:r>
        <w:rPr>
          <w:rFonts w:hint="cs"/>
          <w:rtl/>
        </w:rPr>
        <w:t xml:space="preserve"> מבלי לקחת אחריות על מעשיו הפליליים ותוך ניסיון פסול להציג את מעשיו הפליליים ככשרים" (עמ' 24 לפסק הדין). </w:t>
      </w:r>
    </w:p>
    <w:p w:rsidR="000F3C05" w:rsidRDefault="000F3C05" w:rsidP="000F3C05">
      <w:pPr>
        <w:pStyle w:val="a"/>
        <w:rPr>
          <w:rtl/>
        </w:rPr>
      </w:pPr>
      <w:r>
        <w:rPr>
          <w:rFonts w:hint="cs"/>
          <w:rtl/>
        </w:rPr>
        <w:t>להשלמת התמונה ייאמר כי ביום 24.9.2020 הוריתי, בהסכמת המשיבה, על עיכוב ביצוע עונש המאסר שהוטל על המבקש, וזאת עד להכרעה בבקשת רשות הערעור דנן.</w:t>
      </w:r>
    </w:p>
    <w:p w:rsidR="000F3C05" w:rsidRPr="00D962E6" w:rsidRDefault="000F3C05" w:rsidP="000F3C05">
      <w:pPr>
        <w:pStyle w:val="1"/>
        <w:spacing w:before="360" w:after="360"/>
        <w:rPr>
          <w:rtl/>
        </w:rPr>
      </w:pPr>
      <w:r w:rsidRPr="00D962E6">
        <w:rPr>
          <w:rFonts w:hint="cs"/>
          <w:rtl/>
        </w:rPr>
        <w:t>בקשת רשות הערעור</w:t>
      </w:r>
    </w:p>
    <w:p w:rsidR="000F3C05" w:rsidRDefault="000F3C05" w:rsidP="000F3C05">
      <w:pPr>
        <w:pStyle w:val="a"/>
        <w:rPr>
          <w:rtl/>
        </w:rPr>
      </w:pPr>
      <w:r>
        <w:rPr>
          <w:rFonts w:hint="cs"/>
          <w:rtl/>
        </w:rPr>
        <w:t xml:space="preserve">בבקשה נטען, כי היא מעוררת שתי סוגיות עקרוניות ותקדימיות, אשר חשיבותן הציבורית והשלכותיהן המשפטיות חורגות מעניינו הפרטני של המבקש. </w:t>
      </w:r>
    </w:p>
    <w:p w:rsidR="000F3C05" w:rsidRDefault="000F3C05" w:rsidP="000F3C05">
      <w:pPr>
        <w:pStyle w:val="af6"/>
        <w:rPr>
          <w:rtl/>
        </w:rPr>
      </w:pPr>
      <w:r>
        <w:rPr>
          <w:rtl/>
        </w:rPr>
        <w:tab/>
      </w:r>
      <w:r>
        <w:rPr>
          <w:rFonts w:hint="cs"/>
          <w:rtl/>
        </w:rPr>
        <w:t xml:space="preserve">ראשית, נטען כי שגה בית המשפט המחוזי כשאימץ באופן תקדימי את "תזת הצבירה", כך שנקבע כי דפוס התנהגות של עובד ציבור יכול לגבש תשתית להרשעה בעבירה של מרמה והפרת אמונים, אף שכל אחד ואחד ממעשיו, כשלעצמו, אינו מהווה </w:t>
      </w:r>
      <w:r>
        <w:rPr>
          <w:rFonts w:hint="cs"/>
          <w:rtl/>
        </w:rPr>
        <w:lastRenderedPageBreak/>
        <w:t xml:space="preserve">עבירה פלילית. זאת, על פי הנטען, באופן הנוגד מושכלות יסוד של הדין הפלילי, ובראשן עקרון החוקיות; ועל אף עמימותה של העבירה וגבולותיה המעורפלים. נטען בהקשר זה, כי "בעולם שלאחר אימוץ תיאורית הצבירה יהיה זה כמעט בלתי אפשרי לעובד הציבור לדעת מתי מעשיו חצו את הרף הפלילי. כמה פעולות מינוריות, שאינן עולות כדי ניגוד עניינים, כל אחת כשלעצמה, יהפכו אותו לעבריין?" (סעיף 127 לבקשה). </w:t>
      </w:r>
    </w:p>
    <w:p w:rsidR="000F3C05" w:rsidRDefault="000F3C05" w:rsidP="0091244D">
      <w:pPr>
        <w:pStyle w:val="af6"/>
        <w:rPr>
          <w:rtl/>
        </w:rPr>
      </w:pPr>
      <w:r>
        <w:rPr>
          <w:rtl/>
        </w:rPr>
        <w:tab/>
      </w:r>
      <w:r>
        <w:rPr>
          <w:rFonts w:hint="cs"/>
          <w:rtl/>
        </w:rPr>
        <w:t xml:space="preserve">שנית, נטען כי בית המשפט המחוזי שגה גם בקביעתו לפיה ניתן להרשיע עובד ציבור בעבירה של הפרת אמונים בהתבסס על קיום יחסים אינטימיים מוסכמים עם כפופות לו, וזאת כאשר לא נטען וממילא לא הוכח שבוצעה עבירת מין של ניצול יחסי מרות מצד עובד הציבור, וכאשר לא נדרש כלל שעובד הציבור יבצע פעולות בניגוד עניינים. </w:t>
      </w:r>
      <w:r w:rsidR="0091244D">
        <w:rPr>
          <w:rFonts w:hint="cs"/>
          <w:rtl/>
        </w:rPr>
        <w:t>לגישת המבקש,</w:t>
      </w:r>
      <w:r>
        <w:rPr>
          <w:rFonts w:hint="cs"/>
          <w:rtl/>
        </w:rPr>
        <w:t xml:space="preserve"> קביעה תקדימית זו מרחיבה באופן משמעותי את גבולותיה של העבירה אל עבר "התחום האפור"; אינה מעוגנת בדין הפלילי והיא נסמכת כל כולה על הדין המשמעתי; הנימוקים שהציג בית המשפט המחוזי לקביעה זו עומדים בסתירה לממצאים העובדתיים של הערכאה הדיונית; והיא אף סותרת את עמדתה הרשמית של המשיבה עצמה, כפי שנמסרה בדו"ח של נציב תלונות הציבור (מיום 12.5.2019), אשר לא התקבל כראיה בשלב הערעור.</w:t>
      </w:r>
    </w:p>
    <w:p w:rsidR="000F3C05" w:rsidRDefault="000F3C05" w:rsidP="00083E03">
      <w:pPr>
        <w:pStyle w:val="a"/>
        <w:rPr>
          <w:rtl/>
        </w:rPr>
      </w:pPr>
      <w:r>
        <w:rPr>
          <w:rFonts w:hint="cs"/>
          <w:rtl/>
        </w:rPr>
        <w:t xml:space="preserve">כמו כן נטען כי התנהלות המשיבה כלפי המבקש עולה כדי עיוות דין ואי צדק, באופן המצדיק אף הוא מתן רשות ערעור. </w:t>
      </w:r>
      <w:r w:rsidR="00083E03">
        <w:rPr>
          <w:rFonts w:hint="cs"/>
          <w:rtl/>
        </w:rPr>
        <w:t>כך, נטען כי</w:t>
      </w:r>
      <w:r>
        <w:rPr>
          <w:rFonts w:hint="cs"/>
          <w:rtl/>
        </w:rPr>
        <w:t xml:space="preserve"> בעקבות קביעתו העובדתית של בית משפט השלום לפיה "מרבית הפעולות שביצע הנאשם בעניינן של אותן שוטרות עמן ניהל קשר אינטימי הן מינוריות יחסית", זנחה המשיבה את טענתה באשר לאותן פעולות, ונקטה ב"קו טיעון חדש" תוך ש"יצרה תשתית חדשה לאישום", ולפיו עצם קיום הקשרים האינטימיים ביסס עבירה של מרמה והפרת אמונים, גם ללא היזקקות לאותן פעולות או להימצאות בניגוד עניינים. </w:t>
      </w:r>
    </w:p>
    <w:p w:rsidR="000F3C05" w:rsidRDefault="000F3C05" w:rsidP="000F3C05">
      <w:pPr>
        <w:pStyle w:val="af6"/>
        <w:rPr>
          <w:rtl/>
        </w:rPr>
      </w:pPr>
      <w:r>
        <w:rPr>
          <w:rtl/>
        </w:rPr>
        <w:tab/>
      </w:r>
      <w:r>
        <w:rPr>
          <w:rFonts w:hint="cs"/>
          <w:rtl/>
        </w:rPr>
        <w:t xml:space="preserve">זאת, מבלי שהתקיים כל בירור עובדתי בערכאה הדיונית ביחס לנסיבות קיומן של מערכות היחסים האינטימיות וביחס לאומד דעת המבקש והשוטרות, ובאופן המקפח את זכות המבקש להליך הוגן. בהקשר זה נטען למשל, כי בית המשפט המחוזי נמנע מלבחון "ביחס לכל קשר אינטימי כמה זמן ארך וכיצד הצדדים תפסו אותו; האם נעשתה פעולה או נתקבלה החלטה במקביל לקיומו של הקשר, או בחלוף זמן לאחריו", וכן מה הייתה עוצמת ניגוד העניינים ביחס לכל אחד מהקשרים (סעיף 165 לבקשה).  </w:t>
      </w:r>
    </w:p>
    <w:p w:rsidR="000F3C05" w:rsidRDefault="000F3C05" w:rsidP="00083E03">
      <w:pPr>
        <w:pStyle w:val="a"/>
        <w:rPr>
          <w:rtl/>
        </w:rPr>
      </w:pPr>
      <w:r>
        <w:rPr>
          <w:rFonts w:hint="cs"/>
          <w:rtl/>
        </w:rPr>
        <w:t xml:space="preserve">לבסוף טען המבקש, כי גזר הדין </w:t>
      </w:r>
      <w:r>
        <w:rPr>
          <w:rtl/>
        </w:rPr>
        <w:t>–</w:t>
      </w:r>
      <w:r>
        <w:rPr>
          <w:rFonts w:hint="cs"/>
          <w:rtl/>
        </w:rPr>
        <w:t xml:space="preserve"> שניתן על ידי מותב שלא דן בהליך עצמו, לא שמע את העדויות ולא נחשף באופן ישיר למסכת הראיות </w:t>
      </w:r>
      <w:r>
        <w:rPr>
          <w:rtl/>
        </w:rPr>
        <w:t>–</w:t>
      </w:r>
      <w:r>
        <w:rPr>
          <w:rFonts w:hint="cs"/>
          <w:rtl/>
        </w:rPr>
        <w:t xml:space="preserve"> היה רצוף שגיאות </w:t>
      </w:r>
      <w:r>
        <w:rPr>
          <w:rFonts w:hint="cs"/>
          <w:rtl/>
        </w:rPr>
        <w:lastRenderedPageBreak/>
        <w:t xml:space="preserve">עובדתיות ומשפטיות שהובילו לעיוות דין ולהחמרה בענישה. בהקשר זה נטען, בין היתר, כי העונש שהושת על המבקש חורג באופן משמעותי ממדיניות הענישה הנוהגת, לפיה בעבירות דומות הוטל על נאשמים לכל היותר עונש הניתן לריצוי בדרך של עבירות שירות. גם בשל </w:t>
      </w:r>
      <w:proofErr w:type="spellStart"/>
      <w:r>
        <w:rPr>
          <w:rFonts w:hint="cs"/>
          <w:rtl/>
        </w:rPr>
        <w:t>הסטיה</w:t>
      </w:r>
      <w:proofErr w:type="spellEnd"/>
      <w:r>
        <w:rPr>
          <w:rFonts w:hint="cs"/>
          <w:rtl/>
        </w:rPr>
        <w:t xml:space="preserve"> הקיצונית ממדיניות הענישה המקובלת, יהא זה מוצדק </w:t>
      </w:r>
      <w:proofErr w:type="spellStart"/>
      <w:r>
        <w:rPr>
          <w:rFonts w:hint="cs"/>
          <w:rtl/>
        </w:rPr>
        <w:t>ליתן</w:t>
      </w:r>
      <w:proofErr w:type="spellEnd"/>
      <w:r>
        <w:rPr>
          <w:rFonts w:hint="cs"/>
          <w:rtl/>
        </w:rPr>
        <w:t xml:space="preserve"> למבקש רשות ערעור.</w:t>
      </w:r>
    </w:p>
    <w:p w:rsidR="000F3C05" w:rsidRDefault="000F3C05" w:rsidP="000F3C05">
      <w:pPr>
        <w:pStyle w:val="a"/>
        <w:rPr>
          <w:rtl/>
        </w:rPr>
      </w:pPr>
      <w:r>
        <w:rPr>
          <w:rFonts w:hint="cs"/>
          <w:rtl/>
        </w:rPr>
        <w:t xml:space="preserve">המשיבה התנגדה לבקשה, וטענה כי השאלות שהציב המבקש אינן מצדיקות עיון ודיון מחודשים במסגרת "גלגול שלישי", שכן הן הוכרעו זה מכבר בפסיקתו של בית משפט זה. בהקשר זה טענה המשיבה כי העבירה של מרמה והפרת אמונים, דורשת בהכרח הסתכלות כוללת על התנהגותו של עובד הציבור, ו"אין כל סיבה ואין כל צורך לפרק את התמונה הכוללת ל'כל אחד ואחד ממעשיו' כדי לבדוק אם הוא כשלעצמו מהווה עבירה פלילית" (עמ' 2 לתגובה). אשר לקשיים שהציג המבקש ביחס לבחינת "דפוס ההתנהגות" של עובד הציבור, טענה המשיבה כי מדובר בעניין "יישומי-נורמטיבי", וכי כל מקרה ומקרה יוכרע בהתאם לנסיבותיו הייחודיות. </w:t>
      </w:r>
    </w:p>
    <w:p w:rsidR="000F3C05" w:rsidRDefault="000F3C05" w:rsidP="000F3C05">
      <w:pPr>
        <w:pStyle w:val="af6"/>
        <w:rPr>
          <w:rtl/>
        </w:rPr>
      </w:pPr>
      <w:r>
        <w:rPr>
          <w:rtl/>
        </w:rPr>
        <w:tab/>
      </w:r>
      <w:r>
        <w:rPr>
          <w:rFonts w:hint="cs"/>
          <w:rtl/>
        </w:rPr>
        <w:t xml:space="preserve">המשיבה הוסיפה ודחתה את טענת המבקש לעיוות דין, שכן לשיטתה כבר בכתב האישום יוחסה למבקש עבירה של מרמה והפרת אמונים בשל שמונה הפרשות יחד, קרי, לא רק בגין הפעולות שביצע על פי הנטען בניגוד עניינים, אלא גם בשל עצם קיום הקשרים האינטימיים עם שוטרות הכפופות לו. לכן, לעמדתה, בית משפט השלום טעה כשחילק את כתב האישום ל"חטיבת עבירות המין" ו"חטיבת ניגוד העניינים". טעות זו, כך נטען, תוקנה בפסק דינו של בית המשפט המחוזי, ובפסק דינו אין להתערב.  </w:t>
      </w:r>
    </w:p>
    <w:p w:rsidR="000F3C05" w:rsidRDefault="000F3C05" w:rsidP="000F3C05">
      <w:pPr>
        <w:pStyle w:val="af6"/>
        <w:rPr>
          <w:rtl/>
        </w:rPr>
      </w:pPr>
      <w:r>
        <w:rPr>
          <w:rtl/>
        </w:rPr>
        <w:tab/>
      </w:r>
      <w:r>
        <w:rPr>
          <w:rFonts w:hint="cs"/>
          <w:rtl/>
        </w:rPr>
        <w:t xml:space="preserve">אשר ליתר טענות המבקש, ציינה המשיבה כי היא אינה רואה מקום להשיב להן, שכן הן אינן מצדיקות רשות ערעור, ומכל מקום הן נדונו והוכרעו בפסק דינו המפורט והמנומק של בית המשפט המחוזי. </w:t>
      </w:r>
    </w:p>
    <w:p w:rsidR="000F3C05" w:rsidRDefault="000F3C05" w:rsidP="000F3C05">
      <w:pPr>
        <w:pStyle w:val="a"/>
        <w:rPr>
          <w:rtl/>
        </w:rPr>
      </w:pPr>
      <w:r>
        <w:rPr>
          <w:rFonts w:hint="cs"/>
          <w:rtl/>
        </w:rPr>
        <w:t>בהחלטה מיום 4.11.2020</w:t>
      </w:r>
      <w:r w:rsidR="00083E03">
        <w:rPr>
          <w:rFonts w:hint="cs"/>
          <w:rtl/>
        </w:rPr>
        <w:t>,</w:t>
      </w:r>
      <w:r>
        <w:rPr>
          <w:rFonts w:hint="cs"/>
          <w:rtl/>
        </w:rPr>
        <w:t xml:space="preserve"> הוריתי על העברת התיק למותב </w:t>
      </w:r>
      <w:proofErr w:type="spellStart"/>
      <w:r>
        <w:rPr>
          <w:rFonts w:hint="cs"/>
          <w:rtl/>
        </w:rPr>
        <w:t>תלתא</w:t>
      </w:r>
      <w:proofErr w:type="spellEnd"/>
      <w:r>
        <w:rPr>
          <w:rFonts w:hint="cs"/>
          <w:rtl/>
        </w:rPr>
        <w:t xml:space="preserve"> "בסוגיה אחת בלבד, והיא </w:t>
      </w:r>
      <w:r>
        <w:rPr>
          <w:rtl/>
        </w:rPr>
        <w:t>–</w:t>
      </w:r>
      <w:r>
        <w:rPr>
          <w:rFonts w:hint="cs"/>
          <w:rtl/>
        </w:rPr>
        <w:t xml:space="preserve"> האם ניתן להרשיע נאשם בעבירה של מרמה והפרת אמונים של עובד ציבור לפי סעיף 284 לחוק העונשין, </w:t>
      </w:r>
      <w:proofErr w:type="spellStart"/>
      <w:r>
        <w:rPr>
          <w:rFonts w:hint="cs"/>
          <w:rtl/>
        </w:rPr>
        <w:t>התשל"ז</w:t>
      </w:r>
      <w:proofErr w:type="spellEnd"/>
      <w:r>
        <w:rPr>
          <w:rFonts w:ascii="FrankRuehl" w:hint="cs"/>
          <w:rtl/>
        </w:rPr>
        <w:t>–</w:t>
      </w:r>
      <w:r>
        <w:rPr>
          <w:rFonts w:hint="cs"/>
          <w:rtl/>
        </w:rPr>
        <w:t>1977, בשל דפוס התנהגות חוזר ונשנה שנהג בו, אף אם כל מעשה ומעשה כשלעצמו אינו מגבש עבירה פלילית".</w:t>
      </w:r>
    </w:p>
    <w:p w:rsidR="000F3C05" w:rsidRDefault="000F3C05" w:rsidP="000F3C05">
      <w:pPr>
        <w:pStyle w:val="a"/>
        <w:rPr>
          <w:rtl/>
        </w:rPr>
      </w:pPr>
      <w:r>
        <w:rPr>
          <w:rFonts w:hint="cs"/>
          <w:rtl/>
        </w:rPr>
        <w:t>בדיון שהתקיים לפנינו, שבו הצדדים על עיקרי טענותיהם.</w:t>
      </w:r>
    </w:p>
    <w:p w:rsidR="000F3C05" w:rsidRDefault="000F3C05" w:rsidP="000F3C05">
      <w:pPr>
        <w:pStyle w:val="af6"/>
        <w:rPr>
          <w:rtl/>
        </w:rPr>
      </w:pPr>
      <w:r>
        <w:rPr>
          <w:rFonts w:hint="cs"/>
          <w:rtl/>
        </w:rPr>
        <w:lastRenderedPageBreak/>
        <w:t>בכלל זה, טען בא כוח המבקש כי ככלל, במקרים שבהם כל מעשה בפני עצמו אינו מבסס עבירה פלילית, לא ניתן לצבור את המעשים יחד לכדי עבירת מרמה והפרת אמונים</w:t>
      </w:r>
      <w:r w:rsidR="00083E03">
        <w:rPr>
          <w:rFonts w:hint="cs"/>
          <w:rtl/>
        </w:rPr>
        <w:t xml:space="preserve"> </w:t>
      </w:r>
      <w:r w:rsidR="00083E03">
        <w:rPr>
          <w:rtl/>
        </w:rPr>
        <w:t>–</w:t>
      </w:r>
      <w:r w:rsidR="00083E03">
        <w:rPr>
          <w:rFonts w:hint="cs"/>
          <w:rtl/>
        </w:rPr>
        <w:t xml:space="preserve"> ואף אין לבחון במסגרת עבירה זו את התנהלותו הכוללת של נאשם</w:t>
      </w:r>
      <w:r>
        <w:rPr>
          <w:rFonts w:hint="cs"/>
          <w:rtl/>
        </w:rPr>
        <w:t xml:space="preserve">. </w:t>
      </w:r>
    </w:p>
    <w:p w:rsidR="000F3C05" w:rsidRDefault="000F3C05" w:rsidP="000F3C05">
      <w:pPr>
        <w:pStyle w:val="af6"/>
        <w:rPr>
          <w:rtl/>
        </w:rPr>
      </w:pPr>
      <w:r>
        <w:rPr>
          <w:rFonts w:hint="cs"/>
          <w:rtl/>
        </w:rPr>
        <w:t>עוד הוסיף בא כוח המבקש וטען כי אף אם יש מקום לצבור יחד מעשים אשר כל אחד מהם אינו עולה כדי עבירת מרמה והפרת אמונים לשם ביסוס עבירה זו, הרי שיש לעשות זאת רק במקרים שבהם ניתן להצביע על "קשר הדוק" בין המעשים, שהינם "פרי תכנית עבריינית", כלשונו</w:t>
      </w:r>
      <w:r w:rsidR="00083E03">
        <w:rPr>
          <w:rFonts w:hint="cs"/>
          <w:rtl/>
        </w:rPr>
        <w:t xml:space="preserve"> </w:t>
      </w:r>
      <w:r w:rsidR="00083E03">
        <w:rPr>
          <w:rtl/>
        </w:rPr>
        <w:t>–</w:t>
      </w:r>
      <w:r w:rsidR="00083E03">
        <w:rPr>
          <w:rFonts w:hint="cs"/>
          <w:rtl/>
        </w:rPr>
        <w:t xml:space="preserve"> ובלבד שהמעשים לא התיישנו</w:t>
      </w:r>
      <w:r>
        <w:rPr>
          <w:rFonts w:hint="cs"/>
          <w:rtl/>
        </w:rPr>
        <w:t xml:space="preserve">. </w:t>
      </w:r>
    </w:p>
    <w:p w:rsidR="000F3C05" w:rsidRDefault="000F3C05" w:rsidP="000F3C05">
      <w:pPr>
        <w:pStyle w:val="af6"/>
        <w:rPr>
          <w:rtl/>
        </w:rPr>
      </w:pPr>
      <w:r>
        <w:rPr>
          <w:rFonts w:hint="cs"/>
          <w:rtl/>
        </w:rPr>
        <w:t>לטענתו, במקרה דנן אין קשר הדוק בין מעשי המבקש, ועל כן אף לפי גישה זו אין להרשיעו בעבירת מרמה והפרת אמונים על יסוד צבר המעשים בלבד.</w:t>
      </w:r>
    </w:p>
    <w:p w:rsidR="000F3C05" w:rsidRDefault="000F3C05" w:rsidP="000F3C05">
      <w:pPr>
        <w:pStyle w:val="af6"/>
        <w:rPr>
          <w:rtl/>
        </w:rPr>
      </w:pPr>
      <w:r>
        <w:rPr>
          <w:rFonts w:hint="cs"/>
          <w:rtl/>
        </w:rPr>
        <w:t>מנגד, באת כוח המשיבה סמכה ידיה על פסק דינו של בית המשפט המחוזי.</w:t>
      </w:r>
    </w:p>
    <w:p w:rsidR="000F3C05" w:rsidRDefault="000F3C05" w:rsidP="008E555F">
      <w:pPr>
        <w:pStyle w:val="af6"/>
        <w:rPr>
          <w:rtl/>
        </w:rPr>
      </w:pPr>
      <w:r>
        <w:rPr>
          <w:rFonts w:hint="cs"/>
          <w:rtl/>
        </w:rPr>
        <w:t xml:space="preserve">בין היתר, נטען כי לשם בחינת עוצמת ניגוד העניינים של המבקש ביחס למקרים שלא התיישנו, שבהם נכנס למצב של ניגוד עניינים תוך קיום קשר אינטימי עם השוטרות, ניתן להתייחס גם </w:t>
      </w:r>
      <w:r w:rsidR="00083E03">
        <w:rPr>
          <w:rFonts w:hint="cs"/>
          <w:rtl/>
        </w:rPr>
        <w:t>ל</w:t>
      </w:r>
      <w:r>
        <w:rPr>
          <w:rFonts w:hint="cs"/>
          <w:rtl/>
        </w:rPr>
        <w:t xml:space="preserve">מעשים שבוצעו קודם לכן </w:t>
      </w:r>
      <w:r>
        <w:rPr>
          <w:rtl/>
        </w:rPr>
        <w:t>–</w:t>
      </w:r>
      <w:r>
        <w:rPr>
          <w:rFonts w:hint="cs"/>
          <w:rtl/>
        </w:rPr>
        <w:t xml:space="preserve"> אף אם הם התיישנו; וכי במקרה דנן, קיים קשר הדוק בין מעשי המבקש</w:t>
      </w:r>
      <w:r w:rsidRPr="00E12BFD">
        <w:rPr>
          <w:rtl/>
        </w:rPr>
        <w:t>.</w:t>
      </w:r>
    </w:p>
    <w:p w:rsidR="000F3C05" w:rsidRDefault="000F3C05" w:rsidP="000F3C05">
      <w:pPr>
        <w:pStyle w:val="af6"/>
        <w:rPr>
          <w:rtl/>
        </w:rPr>
      </w:pPr>
      <w:r>
        <w:rPr>
          <w:rFonts w:hint="cs"/>
          <w:rtl/>
        </w:rPr>
        <w:t>לגישת באת כוח המשיבה, עבירת מרמה והפרת אמונים "</w:t>
      </w:r>
      <w:r w:rsidRPr="00E12BFD">
        <w:rPr>
          <w:rtl/>
        </w:rPr>
        <w:t>לא מוגדרות על ידי יסוד עובדתי מאוד</w:t>
      </w:r>
      <w:r>
        <w:rPr>
          <w:rFonts w:hint="cs"/>
          <w:rtl/>
        </w:rPr>
        <w:t>", כלשונה, אלא חלה במקרים שבהם "</w:t>
      </w:r>
      <w:r w:rsidRPr="00E12BFD">
        <w:rPr>
          <w:rtl/>
        </w:rPr>
        <w:t>עושים מעשה שאין לו הגדרה</w:t>
      </w:r>
      <w:r>
        <w:rPr>
          <w:rFonts w:hint="cs"/>
          <w:rtl/>
        </w:rPr>
        <w:t>"</w:t>
      </w:r>
      <w:r w:rsidRPr="00E12BFD">
        <w:rPr>
          <w:rtl/>
        </w:rPr>
        <w:t xml:space="preserve"> </w:t>
      </w:r>
      <w:r>
        <w:rPr>
          <w:rFonts w:hint="cs"/>
          <w:rtl/>
        </w:rPr>
        <w:t>אשר פוגע "פ</w:t>
      </w:r>
      <w:r w:rsidRPr="00E12BFD">
        <w:rPr>
          <w:rtl/>
        </w:rPr>
        <w:t>גיעה מהותית באחד משלושת הערכים המוגנים</w:t>
      </w:r>
      <w:r>
        <w:rPr>
          <w:rFonts w:hint="cs"/>
          <w:rtl/>
        </w:rPr>
        <w:t>". על כן, לבחינת גיבוש העבירה, יש לבחון לשיטתה את "</w:t>
      </w:r>
      <w:r w:rsidRPr="00E12BFD">
        <w:rPr>
          <w:rtl/>
        </w:rPr>
        <w:t>מכלול ההתנהגות</w:t>
      </w:r>
      <w:r>
        <w:rPr>
          <w:rFonts w:hint="cs"/>
          <w:rtl/>
        </w:rPr>
        <w:t>" של עובד הציבור, כהגדרתה.</w:t>
      </w:r>
    </w:p>
    <w:p w:rsidR="000F3C05" w:rsidRPr="006F7F86" w:rsidRDefault="000F3C05" w:rsidP="000F3C05">
      <w:pPr>
        <w:pStyle w:val="1"/>
        <w:spacing w:before="360" w:after="360"/>
        <w:rPr>
          <w:rtl/>
        </w:rPr>
      </w:pPr>
      <w:r w:rsidRPr="006F7F86">
        <w:rPr>
          <w:rFonts w:hint="cs"/>
          <w:rtl/>
        </w:rPr>
        <w:t>דיון והכרעה</w:t>
      </w:r>
    </w:p>
    <w:p w:rsidR="008E555F" w:rsidRDefault="008E555F" w:rsidP="008E555F">
      <w:pPr>
        <w:pStyle w:val="a"/>
        <w:rPr>
          <w:rtl/>
        </w:rPr>
      </w:pPr>
      <w:r w:rsidRPr="00E73B1B">
        <w:rPr>
          <w:rFonts w:hint="eastAsia"/>
          <w:rtl/>
        </w:rPr>
        <w:t>לאחר</w:t>
      </w:r>
      <w:r w:rsidRPr="00E73B1B">
        <w:rPr>
          <w:rtl/>
        </w:rPr>
        <w:t xml:space="preserve"> </w:t>
      </w:r>
      <w:r>
        <w:rPr>
          <w:rFonts w:hint="cs"/>
          <w:rtl/>
        </w:rPr>
        <w:t>שעיינו</w:t>
      </w:r>
      <w:r w:rsidRPr="00E73B1B">
        <w:rPr>
          <w:rtl/>
        </w:rPr>
        <w:t xml:space="preserve"> </w:t>
      </w:r>
      <w:r w:rsidRPr="00E73B1B">
        <w:rPr>
          <w:rFonts w:hint="eastAsia"/>
          <w:rtl/>
        </w:rPr>
        <w:t>בבקשת</w:t>
      </w:r>
      <w:r w:rsidRPr="00E73B1B">
        <w:rPr>
          <w:rtl/>
        </w:rPr>
        <w:t xml:space="preserve"> </w:t>
      </w:r>
      <w:r w:rsidRPr="00E73B1B">
        <w:rPr>
          <w:rFonts w:hint="eastAsia"/>
          <w:rtl/>
        </w:rPr>
        <w:t>רשות</w:t>
      </w:r>
      <w:r w:rsidRPr="00E73B1B">
        <w:rPr>
          <w:rtl/>
        </w:rPr>
        <w:t xml:space="preserve"> </w:t>
      </w:r>
      <w:r w:rsidRPr="00E73B1B">
        <w:rPr>
          <w:rFonts w:hint="eastAsia"/>
          <w:rtl/>
        </w:rPr>
        <w:t>הערעור</w:t>
      </w:r>
      <w:r w:rsidRPr="00E73B1B">
        <w:rPr>
          <w:rtl/>
        </w:rPr>
        <w:t xml:space="preserve">, </w:t>
      </w:r>
      <w:r w:rsidRPr="00E73B1B">
        <w:rPr>
          <w:rFonts w:hint="eastAsia"/>
          <w:rtl/>
        </w:rPr>
        <w:t>בתשובה</w:t>
      </w:r>
      <w:r w:rsidRPr="00E73B1B">
        <w:rPr>
          <w:rtl/>
        </w:rPr>
        <w:t xml:space="preserve"> </w:t>
      </w:r>
      <w:r w:rsidRPr="00E73B1B">
        <w:rPr>
          <w:rFonts w:hint="eastAsia"/>
          <w:rtl/>
        </w:rPr>
        <w:t>לה</w:t>
      </w:r>
      <w:r w:rsidRPr="00E73B1B">
        <w:rPr>
          <w:rtl/>
        </w:rPr>
        <w:t xml:space="preserve">, </w:t>
      </w:r>
      <w:r w:rsidRPr="00E73B1B">
        <w:rPr>
          <w:rFonts w:hint="eastAsia"/>
          <w:rtl/>
        </w:rPr>
        <w:t>ובפסקי</w:t>
      </w:r>
      <w:r w:rsidRPr="00E73B1B">
        <w:rPr>
          <w:rtl/>
        </w:rPr>
        <w:t xml:space="preserve"> </w:t>
      </w:r>
      <w:r w:rsidRPr="00E73B1B">
        <w:rPr>
          <w:rFonts w:hint="eastAsia"/>
          <w:rtl/>
        </w:rPr>
        <w:t>הדין</w:t>
      </w:r>
      <w:r w:rsidRPr="00E73B1B">
        <w:rPr>
          <w:rtl/>
        </w:rPr>
        <w:t xml:space="preserve"> </w:t>
      </w:r>
      <w:r w:rsidRPr="00E73B1B">
        <w:rPr>
          <w:rFonts w:hint="eastAsia"/>
          <w:rtl/>
        </w:rPr>
        <w:t>של</w:t>
      </w:r>
      <w:r w:rsidRPr="00E73B1B">
        <w:rPr>
          <w:rtl/>
        </w:rPr>
        <w:t xml:space="preserve"> </w:t>
      </w:r>
      <w:r w:rsidRPr="00E73B1B">
        <w:rPr>
          <w:rFonts w:hint="eastAsia"/>
          <w:rtl/>
        </w:rPr>
        <w:t>הערכאות</w:t>
      </w:r>
      <w:r w:rsidRPr="00E73B1B">
        <w:rPr>
          <w:rtl/>
        </w:rPr>
        <w:t xml:space="preserve"> </w:t>
      </w:r>
      <w:proofErr w:type="spellStart"/>
      <w:r w:rsidRPr="00E73B1B">
        <w:rPr>
          <w:rFonts w:hint="eastAsia"/>
          <w:rtl/>
        </w:rPr>
        <w:t>דלמטה</w:t>
      </w:r>
      <w:proofErr w:type="spellEnd"/>
      <w:r>
        <w:rPr>
          <w:rtl/>
        </w:rPr>
        <w:t>,</w:t>
      </w:r>
      <w:r>
        <w:rPr>
          <w:rFonts w:hint="cs"/>
          <w:rtl/>
        </w:rPr>
        <w:t xml:space="preserve"> ושמענו את </w:t>
      </w:r>
      <w:r w:rsidRPr="00E73B1B">
        <w:rPr>
          <w:rFonts w:hint="eastAsia"/>
          <w:rtl/>
        </w:rPr>
        <w:t>טיעוני</w:t>
      </w:r>
      <w:r w:rsidRPr="00E73B1B">
        <w:rPr>
          <w:rtl/>
        </w:rPr>
        <w:t xml:space="preserve"> </w:t>
      </w:r>
      <w:r>
        <w:rPr>
          <w:rFonts w:hint="cs"/>
          <w:rtl/>
        </w:rPr>
        <w:t xml:space="preserve">באי כוח </w:t>
      </w:r>
      <w:r w:rsidRPr="00E73B1B">
        <w:rPr>
          <w:rFonts w:hint="eastAsia"/>
          <w:rtl/>
        </w:rPr>
        <w:t>הצדדים</w:t>
      </w:r>
      <w:r w:rsidRPr="00E73B1B">
        <w:rPr>
          <w:rtl/>
        </w:rPr>
        <w:t xml:space="preserve"> </w:t>
      </w:r>
      <w:r w:rsidRPr="00E73B1B">
        <w:rPr>
          <w:rFonts w:hint="eastAsia"/>
          <w:rtl/>
        </w:rPr>
        <w:t>בעל</w:t>
      </w:r>
      <w:r w:rsidRPr="00E73B1B">
        <w:rPr>
          <w:rtl/>
        </w:rPr>
        <w:t xml:space="preserve"> </w:t>
      </w:r>
      <w:r w:rsidRPr="00E73B1B">
        <w:rPr>
          <w:rFonts w:hint="eastAsia"/>
          <w:rtl/>
        </w:rPr>
        <w:t>פה</w:t>
      </w:r>
      <w:r>
        <w:rPr>
          <w:rFonts w:hint="cs"/>
          <w:rtl/>
        </w:rPr>
        <w:t>,</w:t>
      </w:r>
      <w:r w:rsidRPr="00E73B1B">
        <w:rPr>
          <w:rtl/>
        </w:rPr>
        <w:t xml:space="preserve"> </w:t>
      </w:r>
      <w:r w:rsidRPr="00E73B1B">
        <w:rPr>
          <w:rFonts w:hint="eastAsia"/>
          <w:rtl/>
        </w:rPr>
        <w:t>הגע</w:t>
      </w:r>
      <w:r>
        <w:rPr>
          <w:rFonts w:hint="cs"/>
          <w:rtl/>
        </w:rPr>
        <w:t>נו</w:t>
      </w:r>
      <w:r w:rsidRPr="00E73B1B">
        <w:rPr>
          <w:rtl/>
        </w:rPr>
        <w:t xml:space="preserve"> </w:t>
      </w:r>
      <w:r w:rsidRPr="00E73B1B">
        <w:rPr>
          <w:rFonts w:hint="eastAsia"/>
          <w:rtl/>
        </w:rPr>
        <w:t>ל</w:t>
      </w:r>
      <w:r>
        <w:rPr>
          <w:rFonts w:hint="cs"/>
          <w:rtl/>
        </w:rPr>
        <w:t xml:space="preserve">כלל </w:t>
      </w:r>
      <w:r w:rsidRPr="00E73B1B">
        <w:rPr>
          <w:rFonts w:hint="eastAsia"/>
          <w:rtl/>
        </w:rPr>
        <w:t>מסקנה</w:t>
      </w:r>
      <w:r w:rsidRPr="00E73B1B">
        <w:rPr>
          <w:rtl/>
        </w:rPr>
        <w:t xml:space="preserve"> </w:t>
      </w:r>
      <w:r w:rsidRPr="00E73B1B">
        <w:rPr>
          <w:rFonts w:hint="eastAsia"/>
          <w:rtl/>
        </w:rPr>
        <w:t>כי</w:t>
      </w:r>
      <w:r w:rsidRPr="00E73B1B">
        <w:rPr>
          <w:rtl/>
        </w:rPr>
        <w:t xml:space="preserve"> </w:t>
      </w:r>
      <w:r w:rsidRPr="00E73B1B">
        <w:rPr>
          <w:rFonts w:hint="eastAsia"/>
          <w:rtl/>
        </w:rPr>
        <w:t>המקרה</w:t>
      </w:r>
      <w:r w:rsidRPr="00E73B1B">
        <w:rPr>
          <w:rtl/>
        </w:rPr>
        <w:t xml:space="preserve"> </w:t>
      </w:r>
      <w:r w:rsidRPr="00E73B1B">
        <w:rPr>
          <w:rFonts w:hint="eastAsia"/>
          <w:rtl/>
        </w:rPr>
        <w:t>שלפנינו</w:t>
      </w:r>
      <w:r w:rsidRPr="00E73B1B">
        <w:rPr>
          <w:rtl/>
        </w:rPr>
        <w:t xml:space="preserve"> </w:t>
      </w:r>
      <w:r w:rsidRPr="00E73B1B">
        <w:rPr>
          <w:rFonts w:hint="eastAsia"/>
          <w:rtl/>
        </w:rPr>
        <w:t>מצדיק</w:t>
      </w:r>
      <w:r w:rsidRPr="00E73B1B">
        <w:rPr>
          <w:rtl/>
        </w:rPr>
        <w:t xml:space="preserve"> </w:t>
      </w:r>
      <w:r>
        <w:rPr>
          <w:rFonts w:hint="cs"/>
          <w:rtl/>
        </w:rPr>
        <w:t xml:space="preserve">את קבלת הבקשה, אשר הדיון בה יהיה כבערעור.  </w:t>
      </w:r>
    </w:p>
    <w:p w:rsidR="008E555F" w:rsidRDefault="008E555F" w:rsidP="00FB7826">
      <w:pPr>
        <w:pStyle w:val="af6"/>
        <w:rPr>
          <w:rtl/>
        </w:rPr>
      </w:pPr>
      <w:r w:rsidRPr="005A4572">
        <w:rPr>
          <w:rFonts w:hint="eastAsia"/>
          <w:rtl/>
        </w:rPr>
        <w:t>הבקשה</w:t>
      </w:r>
      <w:r w:rsidRPr="005A4572">
        <w:rPr>
          <w:rtl/>
        </w:rPr>
        <w:t xml:space="preserve"> </w:t>
      </w:r>
      <w:r w:rsidRPr="005A4572">
        <w:rPr>
          <w:rFonts w:hint="eastAsia"/>
          <w:rtl/>
        </w:rPr>
        <w:t>מעוררת</w:t>
      </w:r>
      <w:r w:rsidRPr="005A4572">
        <w:rPr>
          <w:rtl/>
        </w:rPr>
        <w:t xml:space="preserve"> </w:t>
      </w:r>
      <w:r w:rsidRPr="005A4572">
        <w:rPr>
          <w:rFonts w:hint="eastAsia"/>
          <w:rtl/>
        </w:rPr>
        <w:t>סוגיה</w:t>
      </w:r>
      <w:r w:rsidRPr="005A4572">
        <w:rPr>
          <w:rtl/>
        </w:rPr>
        <w:t xml:space="preserve"> </w:t>
      </w:r>
      <w:r w:rsidRPr="005A4572">
        <w:rPr>
          <w:rFonts w:hint="eastAsia"/>
          <w:rtl/>
        </w:rPr>
        <w:t>עקרונית</w:t>
      </w:r>
      <w:r w:rsidRPr="005A4572">
        <w:rPr>
          <w:rtl/>
        </w:rPr>
        <w:t xml:space="preserve"> </w:t>
      </w:r>
      <w:r w:rsidRPr="005A4572">
        <w:rPr>
          <w:rFonts w:hint="eastAsia"/>
          <w:rtl/>
        </w:rPr>
        <w:t>וחשובה</w:t>
      </w:r>
      <w:r>
        <w:rPr>
          <w:rFonts w:hint="cs"/>
          <w:rtl/>
        </w:rPr>
        <w:t>, ב</w:t>
      </w:r>
      <w:r w:rsidR="00FB7826">
        <w:rPr>
          <w:rFonts w:hint="cs"/>
          <w:rtl/>
        </w:rPr>
        <w:t xml:space="preserve">שאלה </w:t>
      </w:r>
      <w:r w:rsidRPr="006F7F86">
        <w:rPr>
          <w:rFonts w:hint="eastAsia"/>
          <w:rtl/>
        </w:rPr>
        <w:t>אם</w:t>
      </w:r>
      <w:r w:rsidRPr="006F7F86">
        <w:rPr>
          <w:rtl/>
        </w:rPr>
        <w:t xml:space="preserve"> </w:t>
      </w:r>
      <w:r w:rsidRPr="006F7F86">
        <w:rPr>
          <w:rFonts w:hint="eastAsia"/>
          <w:rtl/>
        </w:rPr>
        <w:t>ניתן</w:t>
      </w:r>
      <w:r w:rsidRPr="006F7F86">
        <w:rPr>
          <w:rtl/>
        </w:rPr>
        <w:t xml:space="preserve"> </w:t>
      </w:r>
      <w:r w:rsidRPr="006F7F86">
        <w:rPr>
          <w:rFonts w:hint="eastAsia"/>
          <w:rtl/>
        </w:rPr>
        <w:t>להרשיע</w:t>
      </w:r>
      <w:r w:rsidRPr="006F7F86">
        <w:rPr>
          <w:rtl/>
        </w:rPr>
        <w:t xml:space="preserve"> </w:t>
      </w:r>
      <w:r w:rsidRPr="006F7F86">
        <w:rPr>
          <w:rFonts w:hint="eastAsia"/>
          <w:rtl/>
        </w:rPr>
        <w:t>נאשם</w:t>
      </w:r>
      <w:r w:rsidRPr="006F7F86">
        <w:rPr>
          <w:rtl/>
        </w:rPr>
        <w:t xml:space="preserve"> </w:t>
      </w:r>
      <w:r w:rsidRPr="006F7F86">
        <w:rPr>
          <w:rFonts w:hint="eastAsia"/>
          <w:rtl/>
        </w:rPr>
        <w:t>בעבירה</w:t>
      </w:r>
      <w:r w:rsidRPr="006F7F86">
        <w:rPr>
          <w:rtl/>
        </w:rPr>
        <w:t xml:space="preserve"> </w:t>
      </w:r>
      <w:r w:rsidRPr="006F7F86">
        <w:rPr>
          <w:rFonts w:hint="eastAsia"/>
          <w:rtl/>
        </w:rPr>
        <w:t>של</w:t>
      </w:r>
      <w:r w:rsidRPr="006F7F86">
        <w:rPr>
          <w:rtl/>
        </w:rPr>
        <w:t xml:space="preserve"> </w:t>
      </w:r>
      <w:r w:rsidRPr="006F7F86">
        <w:rPr>
          <w:rFonts w:hint="eastAsia"/>
          <w:rtl/>
        </w:rPr>
        <w:t>מרמה</w:t>
      </w:r>
      <w:r w:rsidRPr="006F7F86">
        <w:rPr>
          <w:rtl/>
        </w:rPr>
        <w:t xml:space="preserve"> </w:t>
      </w:r>
      <w:r w:rsidRPr="006F7F86">
        <w:rPr>
          <w:rFonts w:hint="eastAsia"/>
          <w:rtl/>
        </w:rPr>
        <w:t>והפרת</w:t>
      </w:r>
      <w:r w:rsidRPr="006F7F86">
        <w:rPr>
          <w:rtl/>
        </w:rPr>
        <w:t xml:space="preserve"> </w:t>
      </w:r>
      <w:r w:rsidRPr="006F7F86">
        <w:rPr>
          <w:rFonts w:hint="eastAsia"/>
          <w:rtl/>
        </w:rPr>
        <w:t>אמונים</w:t>
      </w:r>
      <w:r w:rsidRPr="006F7F86">
        <w:rPr>
          <w:rtl/>
        </w:rPr>
        <w:t xml:space="preserve"> </w:t>
      </w:r>
      <w:r w:rsidRPr="006F7F86">
        <w:rPr>
          <w:rFonts w:hint="eastAsia"/>
          <w:rtl/>
        </w:rPr>
        <w:t>של</w:t>
      </w:r>
      <w:r w:rsidRPr="006F7F86">
        <w:rPr>
          <w:rtl/>
        </w:rPr>
        <w:t xml:space="preserve"> </w:t>
      </w:r>
      <w:r w:rsidRPr="006F7F86">
        <w:rPr>
          <w:rFonts w:hint="eastAsia"/>
          <w:rtl/>
        </w:rPr>
        <w:t>עובד</w:t>
      </w:r>
      <w:r w:rsidRPr="006F7F86">
        <w:rPr>
          <w:rtl/>
        </w:rPr>
        <w:t xml:space="preserve"> </w:t>
      </w:r>
      <w:r w:rsidRPr="006F7F86">
        <w:rPr>
          <w:rFonts w:hint="eastAsia"/>
          <w:rtl/>
        </w:rPr>
        <w:t>ציבור</w:t>
      </w:r>
      <w:r w:rsidRPr="006F7F86">
        <w:rPr>
          <w:rtl/>
        </w:rPr>
        <w:t xml:space="preserve"> </w:t>
      </w:r>
      <w:r w:rsidRPr="006F7F86">
        <w:rPr>
          <w:rFonts w:hint="eastAsia"/>
          <w:rtl/>
        </w:rPr>
        <w:t>בשל</w:t>
      </w:r>
      <w:r w:rsidRPr="006F7F86">
        <w:rPr>
          <w:rtl/>
        </w:rPr>
        <w:t xml:space="preserve"> </w:t>
      </w:r>
      <w:r w:rsidRPr="006F7F86">
        <w:rPr>
          <w:rFonts w:hint="eastAsia"/>
          <w:rtl/>
        </w:rPr>
        <w:t>דפוס</w:t>
      </w:r>
      <w:r w:rsidRPr="006F7F86">
        <w:rPr>
          <w:rtl/>
        </w:rPr>
        <w:t xml:space="preserve"> </w:t>
      </w:r>
      <w:r w:rsidRPr="006F7F86">
        <w:rPr>
          <w:rFonts w:hint="eastAsia"/>
          <w:rtl/>
        </w:rPr>
        <w:t>התנהגות</w:t>
      </w:r>
      <w:r w:rsidRPr="006F7F86">
        <w:rPr>
          <w:rtl/>
        </w:rPr>
        <w:t xml:space="preserve"> </w:t>
      </w:r>
      <w:r w:rsidRPr="006F7F86">
        <w:rPr>
          <w:rFonts w:hint="eastAsia"/>
          <w:rtl/>
        </w:rPr>
        <w:t>חוזר</w:t>
      </w:r>
      <w:r w:rsidRPr="006F7F86">
        <w:rPr>
          <w:rtl/>
        </w:rPr>
        <w:t xml:space="preserve"> </w:t>
      </w:r>
      <w:r w:rsidRPr="006F7F86">
        <w:rPr>
          <w:rFonts w:hint="eastAsia"/>
          <w:rtl/>
        </w:rPr>
        <w:t>ונשנה</w:t>
      </w:r>
      <w:r w:rsidRPr="006F7F86">
        <w:rPr>
          <w:rtl/>
        </w:rPr>
        <w:t xml:space="preserve"> </w:t>
      </w:r>
      <w:r w:rsidRPr="006F7F86">
        <w:rPr>
          <w:rFonts w:hint="eastAsia"/>
          <w:rtl/>
        </w:rPr>
        <w:t>שנהג</w:t>
      </w:r>
      <w:r w:rsidRPr="006F7F86">
        <w:rPr>
          <w:rtl/>
        </w:rPr>
        <w:t xml:space="preserve"> </w:t>
      </w:r>
      <w:r w:rsidRPr="006F7F86">
        <w:rPr>
          <w:rFonts w:hint="eastAsia"/>
          <w:rtl/>
        </w:rPr>
        <w:t>בו</w:t>
      </w:r>
      <w:r w:rsidRPr="006F7F86">
        <w:rPr>
          <w:rtl/>
        </w:rPr>
        <w:t xml:space="preserve">, </w:t>
      </w:r>
      <w:r w:rsidRPr="006F7F86">
        <w:rPr>
          <w:rFonts w:hint="eastAsia"/>
          <w:rtl/>
        </w:rPr>
        <w:t>אף</w:t>
      </w:r>
      <w:r w:rsidRPr="006F7F86">
        <w:rPr>
          <w:rtl/>
        </w:rPr>
        <w:t xml:space="preserve"> </w:t>
      </w:r>
      <w:r w:rsidRPr="006F7F86">
        <w:rPr>
          <w:rFonts w:hint="eastAsia"/>
          <w:rtl/>
        </w:rPr>
        <w:t>אם</w:t>
      </w:r>
      <w:r w:rsidRPr="006F7F86">
        <w:rPr>
          <w:rtl/>
        </w:rPr>
        <w:t xml:space="preserve"> </w:t>
      </w:r>
      <w:r w:rsidRPr="006F7F86">
        <w:rPr>
          <w:rFonts w:hint="eastAsia"/>
          <w:rtl/>
        </w:rPr>
        <w:t>כל</w:t>
      </w:r>
      <w:r w:rsidRPr="006F7F86">
        <w:rPr>
          <w:rtl/>
        </w:rPr>
        <w:t xml:space="preserve"> </w:t>
      </w:r>
      <w:r w:rsidRPr="006F7F86">
        <w:rPr>
          <w:rFonts w:hint="eastAsia"/>
          <w:rtl/>
        </w:rPr>
        <w:t>מעשה</w:t>
      </w:r>
      <w:r w:rsidRPr="006F7F86">
        <w:rPr>
          <w:rtl/>
        </w:rPr>
        <w:t xml:space="preserve"> </w:t>
      </w:r>
      <w:r w:rsidRPr="006F7F86">
        <w:rPr>
          <w:rFonts w:hint="eastAsia"/>
          <w:rtl/>
        </w:rPr>
        <w:t>ומעשה</w:t>
      </w:r>
      <w:r w:rsidRPr="006F7F86">
        <w:rPr>
          <w:rtl/>
        </w:rPr>
        <w:t xml:space="preserve"> </w:t>
      </w:r>
      <w:r w:rsidRPr="006F7F86">
        <w:rPr>
          <w:rFonts w:hint="eastAsia"/>
          <w:rtl/>
        </w:rPr>
        <w:t>שביצע</w:t>
      </w:r>
      <w:r w:rsidRPr="006F7F86">
        <w:rPr>
          <w:rtl/>
        </w:rPr>
        <w:t xml:space="preserve"> </w:t>
      </w:r>
      <w:r w:rsidRPr="006F7F86">
        <w:rPr>
          <w:rFonts w:hint="eastAsia"/>
          <w:rtl/>
        </w:rPr>
        <w:t>כ</w:t>
      </w:r>
      <w:r w:rsidR="00FB7826">
        <w:rPr>
          <w:rFonts w:hint="cs"/>
          <w:rtl/>
        </w:rPr>
        <w:t xml:space="preserve">אשר </w:t>
      </w:r>
      <w:r w:rsidRPr="006F7F86">
        <w:rPr>
          <w:rFonts w:hint="eastAsia"/>
          <w:rtl/>
        </w:rPr>
        <w:t>הוא</w:t>
      </w:r>
      <w:r w:rsidRPr="006F7F86">
        <w:rPr>
          <w:rtl/>
        </w:rPr>
        <w:t xml:space="preserve"> </w:t>
      </w:r>
      <w:r w:rsidRPr="006F7F86">
        <w:rPr>
          <w:rFonts w:hint="eastAsia"/>
          <w:rtl/>
        </w:rPr>
        <w:t>לבדו</w:t>
      </w:r>
      <w:r w:rsidRPr="006F7F86">
        <w:rPr>
          <w:rtl/>
        </w:rPr>
        <w:t xml:space="preserve"> </w:t>
      </w:r>
      <w:r w:rsidRPr="006F7F86">
        <w:rPr>
          <w:rFonts w:hint="eastAsia"/>
          <w:rtl/>
        </w:rPr>
        <w:t>אינו</w:t>
      </w:r>
      <w:r w:rsidRPr="006F7F86">
        <w:rPr>
          <w:rtl/>
        </w:rPr>
        <w:t xml:space="preserve"> </w:t>
      </w:r>
      <w:r w:rsidRPr="006F7F86">
        <w:rPr>
          <w:rFonts w:hint="eastAsia"/>
          <w:rtl/>
        </w:rPr>
        <w:t>מגבש</w:t>
      </w:r>
      <w:r w:rsidRPr="006F7F86">
        <w:rPr>
          <w:rtl/>
        </w:rPr>
        <w:t xml:space="preserve"> </w:t>
      </w:r>
      <w:r w:rsidRPr="006F7F86">
        <w:rPr>
          <w:rFonts w:hint="eastAsia"/>
          <w:rtl/>
        </w:rPr>
        <w:t>עבירה</w:t>
      </w:r>
      <w:r w:rsidRPr="006F7F86">
        <w:rPr>
          <w:rtl/>
        </w:rPr>
        <w:t xml:space="preserve"> </w:t>
      </w:r>
      <w:r w:rsidRPr="006F7F86">
        <w:rPr>
          <w:rFonts w:hint="eastAsia"/>
          <w:rtl/>
        </w:rPr>
        <w:t>פלילית</w:t>
      </w:r>
      <w:r>
        <w:rPr>
          <w:rFonts w:hint="cs"/>
          <w:rtl/>
        </w:rPr>
        <w:t xml:space="preserve">, </w:t>
      </w:r>
      <w:r w:rsidR="00FB7826">
        <w:rPr>
          <w:rFonts w:hint="cs"/>
          <w:rtl/>
        </w:rPr>
        <w:t>ו</w:t>
      </w:r>
      <w:r>
        <w:rPr>
          <w:rFonts w:hint="cs"/>
          <w:rtl/>
        </w:rPr>
        <w:t xml:space="preserve">היא </w:t>
      </w:r>
      <w:r w:rsidR="00FB7826">
        <w:rPr>
          <w:rFonts w:hint="cs"/>
          <w:rtl/>
        </w:rPr>
        <w:t xml:space="preserve">אף </w:t>
      </w:r>
      <w:r>
        <w:rPr>
          <w:rFonts w:hint="cs"/>
          <w:rtl/>
        </w:rPr>
        <w:t>סוגיה תקדימית שטרם הוכרעה בבית משפט זה.</w:t>
      </w:r>
    </w:p>
    <w:p w:rsidR="000F3C05" w:rsidRDefault="000F3C05" w:rsidP="000F3C05">
      <w:pPr>
        <w:pStyle w:val="a"/>
        <w:rPr>
          <w:rtl/>
        </w:rPr>
      </w:pPr>
      <w:r>
        <w:rPr>
          <w:rFonts w:hint="cs"/>
          <w:rtl/>
        </w:rPr>
        <w:lastRenderedPageBreak/>
        <w:t>אפתח בבחינת תקדימיות הסוגיה. המשיבה טוענת, כי באופן עקבי נוהגים בתי המשפט להתבסס על מכלול התנהגותו של נאשם בעת הרשעתו בדין בעבירה של מרמה והפרת אמונים, מבלי לבחון האם יש בכל מעשה ומעשה שביצע כדי לחצות את הרף הפלילי, ולכן, לשיטתה, אין כל חידוש ביישום "תזת הצבירה" גם בעניינו של המבקש.</w:t>
      </w:r>
    </w:p>
    <w:p w:rsidR="000F3C05" w:rsidRDefault="000F3C05" w:rsidP="008E555F">
      <w:pPr>
        <w:pStyle w:val="af6"/>
        <w:rPr>
          <w:rtl/>
        </w:rPr>
      </w:pPr>
      <w:r>
        <w:rPr>
          <w:rtl/>
        </w:rPr>
        <w:tab/>
      </w:r>
      <w:r>
        <w:rPr>
          <w:rFonts w:hint="cs"/>
          <w:rtl/>
        </w:rPr>
        <w:t>ואולם, כל אותם מקרים שאליהם הפנתה המשיבה בתגובתה, עסקו במספר פעולות שביצעו נאשמים לצורך השגת מטרת</w:t>
      </w:r>
      <w:r w:rsidR="00DB4514">
        <w:rPr>
          <w:rFonts w:hint="cs"/>
          <w:rtl/>
        </w:rPr>
        <w:t xml:space="preserve"> </w:t>
      </w:r>
      <w:r>
        <w:rPr>
          <w:rFonts w:hint="cs"/>
          <w:rtl/>
        </w:rPr>
        <w:t xml:space="preserve">על אחת, כך שגם אם דובר במעשים שונים, בסופו של דבר התנקזו כולם לתכנית פעולה אחת, שמימושה הלכה למעשה הוא שהביא להרשעתם של כל אותם נאשמים בעבירה של מרמה והפרת אמונים. לא </w:t>
      </w:r>
      <w:r w:rsidR="008E555F">
        <w:rPr>
          <w:rFonts w:hint="cs"/>
          <w:rtl/>
        </w:rPr>
        <w:t>בכדי</w:t>
      </w:r>
      <w:r>
        <w:rPr>
          <w:rFonts w:hint="cs"/>
          <w:rtl/>
        </w:rPr>
        <w:t xml:space="preserve"> נקבצו ובאו אפוא כל אותן פעולות שביצעו הנאשמים בכל אחד מהמקרים הללו לכדי אישום אחד, שנושאו </w:t>
      </w:r>
      <w:r>
        <w:rPr>
          <w:rtl/>
        </w:rPr>
        <w:t>–</w:t>
      </w:r>
      <w:r>
        <w:rPr>
          <w:rFonts w:hint="cs"/>
          <w:rtl/>
        </w:rPr>
        <w:t xml:space="preserve"> חד הוא.  </w:t>
      </w:r>
    </w:p>
    <w:p w:rsidR="000F3C05" w:rsidRDefault="000F3C05" w:rsidP="00DB4514">
      <w:pPr>
        <w:pStyle w:val="a"/>
        <w:rPr>
          <w:rtl/>
        </w:rPr>
      </w:pPr>
      <w:r>
        <w:rPr>
          <w:rFonts w:hint="cs"/>
          <w:rtl/>
        </w:rPr>
        <w:t xml:space="preserve">כך, </w:t>
      </w:r>
      <w:proofErr w:type="spellStart"/>
      <w:r>
        <w:rPr>
          <w:rFonts w:hint="cs"/>
          <w:rtl/>
        </w:rPr>
        <w:t>בדנ"פ</w:t>
      </w:r>
      <w:proofErr w:type="spellEnd"/>
      <w:r>
        <w:rPr>
          <w:rFonts w:hint="cs"/>
          <w:rtl/>
        </w:rPr>
        <w:t xml:space="preserve"> 1397/03 </w:t>
      </w:r>
      <w:r w:rsidRPr="00D67C80">
        <w:rPr>
          <w:rFonts w:ascii="Century" w:hAnsi="Century" w:cs="Miriam" w:hint="cs"/>
          <w:b/>
          <w:spacing w:val="0"/>
          <w:szCs w:val="24"/>
          <w:rtl/>
        </w:rPr>
        <w:t>מדינת ישראל נ' שבס</w:t>
      </w:r>
      <w:r>
        <w:rPr>
          <w:rFonts w:hint="cs"/>
          <w:rtl/>
        </w:rPr>
        <w:t xml:space="preserve"> פ"ד נט(4) 385 (להלן: </w:t>
      </w:r>
      <w:r>
        <w:rPr>
          <w:rFonts w:ascii="Century" w:hAnsi="Century" w:cs="Miriam" w:hint="cs"/>
          <w:b/>
          <w:spacing w:val="0"/>
          <w:szCs w:val="24"/>
          <w:rtl/>
        </w:rPr>
        <w:t>עניין</w:t>
      </w:r>
      <w:r w:rsidRPr="00890A84">
        <w:rPr>
          <w:rFonts w:ascii="Century" w:hAnsi="Century" w:cs="Miriam" w:hint="cs"/>
          <w:b/>
          <w:spacing w:val="0"/>
          <w:szCs w:val="24"/>
          <w:rtl/>
        </w:rPr>
        <w:t xml:space="preserve"> שבס</w:t>
      </w:r>
      <w:r>
        <w:rPr>
          <w:rFonts w:hint="cs"/>
          <w:rtl/>
        </w:rPr>
        <w:t xml:space="preserve">), בו נקבעה ההלכה המנחה ביחס ליסודותיה של עבירת המרמה והפרת האמונים, הרשיע בית משפט זה את הנאשם, </w:t>
      </w:r>
      <w:r w:rsidRPr="007A290D">
        <w:rPr>
          <w:rFonts w:hint="eastAsia"/>
          <w:rtl/>
        </w:rPr>
        <w:t>שהיה</w:t>
      </w:r>
      <w:r w:rsidRPr="007A290D">
        <w:rPr>
          <w:rtl/>
        </w:rPr>
        <w:t xml:space="preserve"> </w:t>
      </w:r>
      <w:r w:rsidRPr="007A290D">
        <w:rPr>
          <w:rFonts w:hint="eastAsia"/>
          <w:rtl/>
        </w:rPr>
        <w:t>המנהל</w:t>
      </w:r>
      <w:r w:rsidRPr="007A290D">
        <w:rPr>
          <w:rtl/>
        </w:rPr>
        <w:t xml:space="preserve"> </w:t>
      </w:r>
      <w:r w:rsidRPr="007A290D">
        <w:rPr>
          <w:rFonts w:hint="eastAsia"/>
          <w:rtl/>
        </w:rPr>
        <w:t>הכללי</w:t>
      </w:r>
      <w:r w:rsidRPr="007A290D">
        <w:rPr>
          <w:rtl/>
        </w:rPr>
        <w:t xml:space="preserve"> </w:t>
      </w:r>
      <w:r w:rsidRPr="007A290D">
        <w:rPr>
          <w:rFonts w:hint="eastAsia"/>
          <w:rtl/>
        </w:rPr>
        <w:t>של</w:t>
      </w:r>
      <w:r w:rsidRPr="007A290D">
        <w:rPr>
          <w:rtl/>
        </w:rPr>
        <w:t xml:space="preserve"> </w:t>
      </w:r>
      <w:r w:rsidRPr="007A290D">
        <w:rPr>
          <w:rFonts w:hint="eastAsia"/>
          <w:rtl/>
        </w:rPr>
        <w:t>משרד</w:t>
      </w:r>
      <w:r w:rsidRPr="007A290D">
        <w:rPr>
          <w:rtl/>
        </w:rPr>
        <w:t xml:space="preserve"> </w:t>
      </w:r>
      <w:r w:rsidRPr="007A290D">
        <w:rPr>
          <w:rFonts w:hint="eastAsia"/>
          <w:rtl/>
        </w:rPr>
        <w:t>ראש</w:t>
      </w:r>
      <w:r w:rsidR="00DB4514">
        <w:rPr>
          <w:rFonts w:hint="cs"/>
          <w:rtl/>
        </w:rPr>
        <w:t xml:space="preserve"> </w:t>
      </w:r>
      <w:r w:rsidRPr="007A290D">
        <w:rPr>
          <w:rFonts w:hint="eastAsia"/>
          <w:rtl/>
        </w:rPr>
        <w:t>הממשלה</w:t>
      </w:r>
      <w:r>
        <w:rPr>
          <w:rFonts w:hint="cs"/>
          <w:rtl/>
        </w:rPr>
        <w:t xml:space="preserve">, בשתי עבירות של מרמה והפרת אמונים בשל מגוון פעולות שביצע בשתי פרשות שונות (ובשני </w:t>
      </w:r>
      <w:proofErr w:type="spellStart"/>
      <w:r>
        <w:rPr>
          <w:rFonts w:hint="cs"/>
          <w:rtl/>
        </w:rPr>
        <w:t>אישומים</w:t>
      </w:r>
      <w:proofErr w:type="spellEnd"/>
      <w:r>
        <w:rPr>
          <w:rFonts w:hint="cs"/>
          <w:rtl/>
        </w:rPr>
        <w:t xml:space="preserve"> שונים), תוך ניצול משרתו לצורך קבלת טובות הנאה. </w:t>
      </w:r>
    </w:p>
    <w:p w:rsidR="000F3C05" w:rsidRDefault="000F3C05" w:rsidP="000F3C05">
      <w:pPr>
        <w:pStyle w:val="af6"/>
        <w:rPr>
          <w:rtl/>
        </w:rPr>
      </w:pPr>
      <w:r>
        <w:rPr>
          <w:rtl/>
        </w:rPr>
        <w:tab/>
      </w:r>
      <w:r>
        <w:rPr>
          <w:rFonts w:hint="cs"/>
          <w:rtl/>
        </w:rPr>
        <w:t xml:space="preserve">ואולם, אף שבכל אחד </w:t>
      </w:r>
      <w:proofErr w:type="spellStart"/>
      <w:r>
        <w:rPr>
          <w:rFonts w:hint="cs"/>
          <w:rtl/>
        </w:rPr>
        <w:t>מהאישומים</w:t>
      </w:r>
      <w:proofErr w:type="spellEnd"/>
      <w:r>
        <w:rPr>
          <w:rFonts w:hint="cs"/>
          <w:rtl/>
        </w:rPr>
        <w:t xml:space="preserve"> דובר במספר פעולות שביצע הנאשם </w:t>
      </w:r>
      <w:r>
        <w:rPr>
          <w:rtl/>
        </w:rPr>
        <w:t>–</w:t>
      </w:r>
      <w:r>
        <w:rPr>
          <w:rFonts w:hint="cs"/>
          <w:rtl/>
        </w:rPr>
        <w:t xml:space="preserve"> שיחות, פגישות, פניות וכיוצא באלו </w:t>
      </w:r>
      <w:r>
        <w:rPr>
          <w:rtl/>
        </w:rPr>
        <w:t>–</w:t>
      </w:r>
      <w:r>
        <w:rPr>
          <w:rFonts w:hint="cs"/>
          <w:rtl/>
        </w:rPr>
        <w:t xml:space="preserve"> הרי שכל אותן פעולות נועדו להשיג מטרה אחת ויחידה (באישום הראשון </w:t>
      </w:r>
      <w:r>
        <w:rPr>
          <w:rtl/>
        </w:rPr>
        <w:t>–</w:t>
      </w:r>
      <w:r>
        <w:rPr>
          <w:rFonts w:hint="cs"/>
          <w:rtl/>
        </w:rPr>
        <w:t xml:space="preserve"> הוצאת עסקה מסוימת אל הפועל, ובאישום השלישי </w:t>
      </w:r>
      <w:r>
        <w:rPr>
          <w:rtl/>
        </w:rPr>
        <w:t>–</w:t>
      </w:r>
      <w:r>
        <w:rPr>
          <w:rFonts w:hint="cs"/>
          <w:rtl/>
        </w:rPr>
        <w:t xml:space="preserve"> אישורן של שתי תכניות בניה). </w:t>
      </w:r>
    </w:p>
    <w:p w:rsidR="000F3C05" w:rsidRDefault="000F3C05" w:rsidP="000F3C05">
      <w:pPr>
        <w:pStyle w:val="af6"/>
        <w:rPr>
          <w:rtl/>
        </w:rPr>
      </w:pPr>
      <w:r>
        <w:rPr>
          <w:rtl/>
        </w:rPr>
        <w:tab/>
      </w:r>
      <w:r>
        <w:rPr>
          <w:rFonts w:hint="cs"/>
          <w:rtl/>
        </w:rPr>
        <w:t xml:space="preserve">בדומה, בע"פ 8080/12 </w:t>
      </w:r>
      <w:r w:rsidRPr="00654067">
        <w:rPr>
          <w:rFonts w:ascii="Century" w:hAnsi="Century" w:cs="Miriam" w:hint="cs"/>
          <w:b/>
          <w:spacing w:val="0"/>
          <w:szCs w:val="24"/>
          <w:rtl/>
        </w:rPr>
        <w:t>מדינת ישראל נ' אולמרט</w:t>
      </w:r>
      <w:r w:rsidRPr="00654067">
        <w:rPr>
          <w:rFonts w:hint="cs"/>
          <w:rtl/>
        </w:rPr>
        <w:t xml:space="preserve"> </w:t>
      </w:r>
      <w:r>
        <w:rPr>
          <w:rFonts w:hint="cs"/>
          <w:rtl/>
        </w:rPr>
        <w:t xml:space="preserve">(28.9.2016), הורשע הנאשם באישום שעסק ב"פרשת </w:t>
      </w:r>
      <w:proofErr w:type="spellStart"/>
      <w:r>
        <w:rPr>
          <w:rFonts w:hint="cs"/>
          <w:rtl/>
        </w:rPr>
        <w:t>טלנסקי</w:t>
      </w:r>
      <w:proofErr w:type="spellEnd"/>
      <w:r>
        <w:rPr>
          <w:rFonts w:hint="cs"/>
          <w:rtl/>
        </w:rPr>
        <w:t xml:space="preserve">" בעבירה של מרמה והפרת אמונים, בגין </w:t>
      </w:r>
      <w:r>
        <w:rPr>
          <w:rFonts w:ascii="Century" w:hAnsi="Century" w:hint="cs"/>
          <w:rtl/>
        </w:rPr>
        <w:t xml:space="preserve">קבלת </w:t>
      </w:r>
      <w:r w:rsidRPr="007A290D">
        <w:rPr>
          <w:rFonts w:ascii="Century" w:hAnsi="Century" w:hint="cs"/>
          <w:rtl/>
        </w:rPr>
        <w:t xml:space="preserve">סכומי כסף שונים </w:t>
      </w:r>
      <w:r>
        <w:rPr>
          <w:rFonts w:hint="cs"/>
          <w:rtl/>
        </w:rPr>
        <w:t xml:space="preserve">מידי איש העסקים </w:t>
      </w:r>
      <w:proofErr w:type="spellStart"/>
      <w:r>
        <w:rPr>
          <w:rFonts w:hint="cs"/>
          <w:rtl/>
        </w:rPr>
        <w:t>טלנסקי</w:t>
      </w:r>
      <w:proofErr w:type="spellEnd"/>
      <w:r>
        <w:rPr>
          <w:rFonts w:hint="cs"/>
          <w:rtl/>
        </w:rPr>
        <w:t xml:space="preserve"> והכנסתם ל"קופה הסודית" שהוחזקה אצל ידידו עו"ד אורי מסר. לטענת המשיבה, הרשעתו של הנאשם באותה פרשה התבססה על "דפוס התנהגות" </w:t>
      </w:r>
      <w:proofErr w:type="spellStart"/>
      <w:r>
        <w:rPr>
          <w:rFonts w:hint="cs"/>
          <w:rtl/>
        </w:rPr>
        <w:t>מצידו</w:t>
      </w:r>
      <w:proofErr w:type="spellEnd"/>
      <w:r>
        <w:rPr>
          <w:rFonts w:hint="cs"/>
          <w:rtl/>
        </w:rPr>
        <w:t>, כאשר "</w:t>
      </w:r>
      <w:r w:rsidRPr="004671C3">
        <w:rPr>
          <w:rFonts w:hint="eastAsia"/>
          <w:rtl/>
        </w:rPr>
        <w:t>בית</w:t>
      </w:r>
      <w:r w:rsidRPr="004671C3">
        <w:rPr>
          <w:rtl/>
        </w:rPr>
        <w:t xml:space="preserve"> </w:t>
      </w:r>
      <w:r w:rsidRPr="004671C3">
        <w:rPr>
          <w:rFonts w:hint="eastAsia"/>
          <w:rtl/>
        </w:rPr>
        <w:t>המשפט</w:t>
      </w:r>
      <w:r w:rsidRPr="004671C3">
        <w:rPr>
          <w:rtl/>
        </w:rPr>
        <w:t xml:space="preserve"> </w:t>
      </w:r>
      <w:r w:rsidRPr="004671C3">
        <w:rPr>
          <w:rFonts w:hint="eastAsia"/>
          <w:rtl/>
        </w:rPr>
        <w:t>לא</w:t>
      </w:r>
      <w:r w:rsidRPr="004671C3">
        <w:rPr>
          <w:rtl/>
        </w:rPr>
        <w:t xml:space="preserve"> </w:t>
      </w:r>
      <w:r w:rsidRPr="004671C3">
        <w:rPr>
          <w:rFonts w:hint="eastAsia"/>
          <w:rtl/>
        </w:rPr>
        <w:t>שאל</w:t>
      </w:r>
      <w:r w:rsidRPr="004671C3">
        <w:rPr>
          <w:rtl/>
        </w:rPr>
        <w:t xml:space="preserve"> </w:t>
      </w:r>
      <w:r w:rsidRPr="004671C3">
        <w:rPr>
          <w:rFonts w:hint="eastAsia"/>
          <w:rtl/>
        </w:rPr>
        <w:t>את</w:t>
      </w:r>
      <w:r w:rsidRPr="004671C3">
        <w:rPr>
          <w:rtl/>
        </w:rPr>
        <w:t xml:space="preserve"> </w:t>
      </w:r>
      <w:r w:rsidRPr="004671C3">
        <w:rPr>
          <w:rFonts w:hint="eastAsia"/>
          <w:rtl/>
        </w:rPr>
        <w:t>עצמו</w:t>
      </w:r>
      <w:r w:rsidRPr="004671C3">
        <w:rPr>
          <w:rtl/>
        </w:rPr>
        <w:t xml:space="preserve"> </w:t>
      </w:r>
      <w:r w:rsidRPr="004671C3">
        <w:rPr>
          <w:rFonts w:hint="eastAsia"/>
          <w:rtl/>
        </w:rPr>
        <w:t>האם</w:t>
      </w:r>
      <w:r w:rsidRPr="004671C3">
        <w:rPr>
          <w:rtl/>
        </w:rPr>
        <w:t xml:space="preserve"> </w:t>
      </w:r>
      <w:r w:rsidRPr="004671C3">
        <w:rPr>
          <w:rFonts w:hint="eastAsia"/>
          <w:rtl/>
        </w:rPr>
        <w:t>די</w:t>
      </w:r>
      <w:r w:rsidRPr="004671C3">
        <w:rPr>
          <w:rtl/>
        </w:rPr>
        <w:t xml:space="preserve"> </w:t>
      </w:r>
      <w:r w:rsidRPr="004671C3">
        <w:rPr>
          <w:rFonts w:hint="eastAsia"/>
          <w:rtl/>
        </w:rPr>
        <w:t>בכל</w:t>
      </w:r>
      <w:r w:rsidRPr="004671C3">
        <w:rPr>
          <w:rtl/>
        </w:rPr>
        <w:t xml:space="preserve"> </w:t>
      </w:r>
      <w:r w:rsidRPr="004671C3">
        <w:rPr>
          <w:rFonts w:hint="eastAsia"/>
          <w:rtl/>
        </w:rPr>
        <w:t>סכום</w:t>
      </w:r>
      <w:r w:rsidRPr="004671C3">
        <w:rPr>
          <w:rtl/>
        </w:rPr>
        <w:t xml:space="preserve"> </w:t>
      </w:r>
      <w:r w:rsidRPr="004671C3">
        <w:rPr>
          <w:rFonts w:hint="eastAsia"/>
          <w:rtl/>
        </w:rPr>
        <w:t>כסף</w:t>
      </w:r>
      <w:r w:rsidRPr="004671C3">
        <w:rPr>
          <w:rtl/>
        </w:rPr>
        <w:t xml:space="preserve"> </w:t>
      </w:r>
      <w:r w:rsidRPr="004671C3">
        <w:rPr>
          <w:rFonts w:hint="eastAsia"/>
          <w:rtl/>
        </w:rPr>
        <w:t>שהתקבל</w:t>
      </w:r>
      <w:r w:rsidRPr="004671C3">
        <w:rPr>
          <w:rtl/>
        </w:rPr>
        <w:t xml:space="preserve"> </w:t>
      </w:r>
      <w:r w:rsidRPr="004671C3">
        <w:rPr>
          <w:rFonts w:hint="eastAsia"/>
          <w:rtl/>
        </w:rPr>
        <w:t>כשלעצמו</w:t>
      </w:r>
      <w:r w:rsidRPr="004671C3">
        <w:rPr>
          <w:rtl/>
        </w:rPr>
        <w:t xml:space="preserve"> </w:t>
      </w:r>
      <w:r w:rsidRPr="004671C3">
        <w:rPr>
          <w:rFonts w:hint="eastAsia"/>
          <w:rtl/>
        </w:rPr>
        <w:t>כדי</w:t>
      </w:r>
      <w:r w:rsidRPr="004671C3">
        <w:rPr>
          <w:rtl/>
        </w:rPr>
        <w:t xml:space="preserve"> </w:t>
      </w:r>
      <w:r w:rsidRPr="004671C3">
        <w:rPr>
          <w:rFonts w:hint="eastAsia"/>
          <w:rtl/>
        </w:rPr>
        <w:t>לעבור</w:t>
      </w:r>
      <w:r w:rsidRPr="004671C3">
        <w:rPr>
          <w:rtl/>
        </w:rPr>
        <w:t xml:space="preserve"> </w:t>
      </w:r>
      <w:r w:rsidRPr="004671C3">
        <w:rPr>
          <w:rFonts w:hint="eastAsia"/>
          <w:rtl/>
        </w:rPr>
        <w:t>את</w:t>
      </w:r>
      <w:r w:rsidRPr="004671C3">
        <w:rPr>
          <w:rtl/>
        </w:rPr>
        <w:t xml:space="preserve"> </w:t>
      </w:r>
      <w:r w:rsidRPr="004671C3">
        <w:rPr>
          <w:rFonts w:hint="eastAsia"/>
          <w:rtl/>
        </w:rPr>
        <w:t>הרף</w:t>
      </w:r>
      <w:r w:rsidRPr="004671C3">
        <w:rPr>
          <w:rtl/>
        </w:rPr>
        <w:t xml:space="preserve"> </w:t>
      </w:r>
      <w:r w:rsidRPr="004671C3">
        <w:rPr>
          <w:rFonts w:hint="eastAsia"/>
          <w:rtl/>
        </w:rPr>
        <w:t>הפלילי</w:t>
      </w:r>
      <w:r w:rsidRPr="004671C3">
        <w:rPr>
          <w:rtl/>
        </w:rPr>
        <w:t>" (</w:t>
      </w:r>
      <w:r w:rsidRPr="004671C3">
        <w:rPr>
          <w:rFonts w:hint="eastAsia"/>
          <w:rtl/>
        </w:rPr>
        <w:t>עמ</w:t>
      </w:r>
      <w:r w:rsidRPr="004671C3">
        <w:rPr>
          <w:rtl/>
        </w:rPr>
        <w:t xml:space="preserve">' 23 </w:t>
      </w:r>
      <w:r>
        <w:rPr>
          <w:rFonts w:hint="eastAsia"/>
          <w:rtl/>
        </w:rPr>
        <w:t>לתגוב</w:t>
      </w:r>
      <w:r>
        <w:rPr>
          <w:rFonts w:hint="cs"/>
          <w:rtl/>
        </w:rPr>
        <w:t>ת המשיבה</w:t>
      </w:r>
      <w:r>
        <w:rPr>
          <w:rtl/>
        </w:rPr>
        <w:t>)</w:t>
      </w:r>
      <w:r>
        <w:rPr>
          <w:rFonts w:hint="cs"/>
          <w:rtl/>
        </w:rPr>
        <w:t xml:space="preserve">, וייתכן כי "אילו היה מדובר בקבלת טובת הנאה אחת ויחידה, קטנה בהיקפה, הוא לא היה מועמד כלל לדין פלילי" (עמ' 2 לתגובה). </w:t>
      </w:r>
    </w:p>
    <w:p w:rsidR="000F3C05" w:rsidRDefault="000F3C05" w:rsidP="00DB4514">
      <w:pPr>
        <w:pStyle w:val="af6"/>
        <w:rPr>
          <w:rtl/>
        </w:rPr>
      </w:pPr>
      <w:r>
        <w:rPr>
          <w:rtl/>
        </w:rPr>
        <w:lastRenderedPageBreak/>
        <w:tab/>
      </w:r>
      <w:r>
        <w:rPr>
          <w:rFonts w:hint="cs"/>
          <w:rtl/>
        </w:rPr>
        <w:t>ואולם, גם באותה פרשה דובר היה בפעולות ומעשים שנעשו לצורך מטרת</w:t>
      </w:r>
      <w:r w:rsidR="00DB4514">
        <w:rPr>
          <w:rFonts w:hint="cs"/>
          <w:rtl/>
        </w:rPr>
        <w:t xml:space="preserve"> </w:t>
      </w:r>
      <w:r>
        <w:rPr>
          <w:rFonts w:hint="cs"/>
          <w:rtl/>
        </w:rPr>
        <w:t xml:space="preserve">על אחת: החזקת </w:t>
      </w:r>
      <w:r w:rsidRPr="00B14520">
        <w:rPr>
          <w:rFonts w:hint="eastAsia"/>
          <w:rtl/>
        </w:rPr>
        <w:t>קופה</w:t>
      </w:r>
      <w:r>
        <w:rPr>
          <w:rFonts w:hint="cs"/>
          <w:rtl/>
        </w:rPr>
        <w:t xml:space="preserve"> פרטית של מזומנים מכספי תרומות בהם עשה הנאשם שימוש </w:t>
      </w:r>
      <w:r>
        <w:rPr>
          <w:rFonts w:hint="eastAsia"/>
          <w:rtl/>
        </w:rPr>
        <w:t>לצרכי</w:t>
      </w:r>
      <w:r>
        <w:rPr>
          <w:rFonts w:hint="cs"/>
          <w:rtl/>
        </w:rPr>
        <w:t>ם</w:t>
      </w:r>
      <w:r w:rsidRPr="00B14520">
        <w:rPr>
          <w:rtl/>
        </w:rPr>
        <w:t xml:space="preserve"> </w:t>
      </w:r>
      <w:r w:rsidRPr="00B14520">
        <w:rPr>
          <w:rFonts w:hint="eastAsia"/>
          <w:rtl/>
        </w:rPr>
        <w:t>אישיים</w:t>
      </w:r>
      <w:r w:rsidRPr="00B14520">
        <w:rPr>
          <w:rtl/>
        </w:rPr>
        <w:t xml:space="preserve"> </w:t>
      </w:r>
      <w:r w:rsidRPr="00B14520">
        <w:rPr>
          <w:rFonts w:hint="eastAsia"/>
          <w:rtl/>
        </w:rPr>
        <w:t>ולנוחותו</w:t>
      </w:r>
      <w:r w:rsidRPr="00B14520">
        <w:rPr>
          <w:rtl/>
        </w:rPr>
        <w:t xml:space="preserve">, </w:t>
      </w:r>
      <w:r w:rsidRPr="00B14520">
        <w:rPr>
          <w:rFonts w:hint="eastAsia"/>
          <w:rtl/>
        </w:rPr>
        <w:t>כל</w:t>
      </w:r>
      <w:r w:rsidRPr="00B14520">
        <w:rPr>
          <w:rtl/>
        </w:rPr>
        <w:t xml:space="preserve"> </w:t>
      </w:r>
      <w:r w:rsidRPr="00B14520">
        <w:rPr>
          <w:rFonts w:hint="eastAsia"/>
          <w:rtl/>
        </w:rPr>
        <w:t>זאת</w:t>
      </w:r>
      <w:r w:rsidRPr="00B14520">
        <w:rPr>
          <w:rtl/>
        </w:rPr>
        <w:t xml:space="preserve"> </w:t>
      </w:r>
      <w:r w:rsidRPr="00B14520">
        <w:rPr>
          <w:rFonts w:hint="eastAsia"/>
          <w:rtl/>
        </w:rPr>
        <w:t>בהסתר</w:t>
      </w:r>
      <w:r w:rsidRPr="00B14520">
        <w:rPr>
          <w:rtl/>
        </w:rPr>
        <w:t xml:space="preserve"> </w:t>
      </w:r>
      <w:r w:rsidRPr="00B14520">
        <w:rPr>
          <w:rFonts w:hint="eastAsia"/>
          <w:rtl/>
        </w:rPr>
        <w:t>וללא</w:t>
      </w:r>
      <w:r w:rsidRPr="00B14520">
        <w:rPr>
          <w:rtl/>
        </w:rPr>
        <w:t xml:space="preserve"> </w:t>
      </w:r>
      <w:r w:rsidRPr="00B14520">
        <w:rPr>
          <w:rFonts w:hint="eastAsia"/>
          <w:rtl/>
        </w:rPr>
        <w:t>דיווח</w:t>
      </w:r>
      <w:r w:rsidRPr="00B14520">
        <w:rPr>
          <w:rtl/>
        </w:rPr>
        <w:t xml:space="preserve">. </w:t>
      </w:r>
    </w:p>
    <w:p w:rsidR="000F3C05" w:rsidRDefault="000F3C05" w:rsidP="000F3C05">
      <w:pPr>
        <w:pStyle w:val="af6"/>
        <w:rPr>
          <w:rtl/>
        </w:rPr>
      </w:pPr>
      <w:r>
        <w:rPr>
          <w:rtl/>
        </w:rPr>
        <w:tab/>
      </w:r>
      <w:r>
        <w:rPr>
          <w:rFonts w:hint="cs"/>
          <w:rtl/>
        </w:rPr>
        <w:t xml:space="preserve">עוד הפנתה המשיבה </w:t>
      </w:r>
      <w:proofErr w:type="spellStart"/>
      <w:r>
        <w:rPr>
          <w:rFonts w:hint="cs"/>
          <w:rtl/>
        </w:rPr>
        <w:t>לע"פ</w:t>
      </w:r>
      <w:proofErr w:type="spellEnd"/>
      <w:r>
        <w:rPr>
          <w:rFonts w:hint="cs"/>
          <w:rtl/>
        </w:rPr>
        <w:t xml:space="preserve"> 6916/06 </w:t>
      </w:r>
      <w:r w:rsidRPr="004A6F3F">
        <w:rPr>
          <w:rFonts w:ascii="Century" w:hAnsi="Century" w:cs="Miriam" w:hint="cs"/>
          <w:b/>
          <w:spacing w:val="0"/>
          <w:szCs w:val="24"/>
          <w:rtl/>
        </w:rPr>
        <w:t>אטיאס נ' מדינת ישראל</w:t>
      </w:r>
      <w:r w:rsidRPr="004A6F3F">
        <w:rPr>
          <w:rFonts w:hint="cs"/>
          <w:rtl/>
        </w:rPr>
        <w:t xml:space="preserve"> </w:t>
      </w:r>
      <w:r>
        <w:rPr>
          <w:rFonts w:hint="cs"/>
          <w:rtl/>
        </w:rPr>
        <w:t xml:space="preserve">(29.10.2007), כאשר לטענתה באותו עניין הנאשם, שהיה מנהל מחלקת הפיקוח על הבניה בעיריית ירושלים, </w:t>
      </w:r>
      <w:r w:rsidRPr="00FE439B">
        <w:rPr>
          <w:rFonts w:hint="eastAsia"/>
          <w:rtl/>
        </w:rPr>
        <w:t>ביצע</w:t>
      </w:r>
      <w:r w:rsidRPr="00FE439B">
        <w:rPr>
          <w:rtl/>
        </w:rPr>
        <w:t xml:space="preserve"> </w:t>
      </w:r>
      <w:r>
        <w:rPr>
          <w:rFonts w:hint="cs"/>
          <w:rtl/>
        </w:rPr>
        <w:t xml:space="preserve">צבר של פעולות (שיוחסו לו באישום השלישי ובאישום הרביעי), אך בית המשפט לא בחן כל אחת ואחת מהן כעומדת בפני עצמה, ואף ציין כי לצורך הקביעה שהנאשם ביצע מעשה של הפרת אמונים </w:t>
      </w:r>
      <w:r>
        <w:rPr>
          <w:rtl/>
        </w:rPr>
        <w:t>–</w:t>
      </w:r>
      <w:r>
        <w:rPr>
          <w:rFonts w:hint="cs"/>
          <w:rtl/>
        </w:rPr>
        <w:t xml:space="preserve"> "</w:t>
      </w:r>
      <w:r w:rsidRPr="00583D2A">
        <w:rPr>
          <w:rFonts w:hint="eastAsia"/>
          <w:rtl/>
        </w:rPr>
        <w:t>אין</w:t>
      </w:r>
      <w:r w:rsidRPr="00583D2A">
        <w:rPr>
          <w:rtl/>
        </w:rPr>
        <w:t xml:space="preserve"> </w:t>
      </w:r>
      <w:r w:rsidRPr="00583D2A">
        <w:rPr>
          <w:rFonts w:hint="eastAsia"/>
          <w:rtl/>
        </w:rPr>
        <w:t>צורך</w:t>
      </w:r>
      <w:r w:rsidRPr="00583D2A">
        <w:rPr>
          <w:rtl/>
        </w:rPr>
        <w:t xml:space="preserve"> </w:t>
      </w:r>
      <w:r w:rsidRPr="00583D2A">
        <w:rPr>
          <w:rFonts w:hint="eastAsia"/>
          <w:rtl/>
        </w:rPr>
        <w:t>שבית</w:t>
      </w:r>
      <w:r w:rsidRPr="00583D2A">
        <w:rPr>
          <w:rtl/>
        </w:rPr>
        <w:t xml:space="preserve"> </w:t>
      </w:r>
      <w:r w:rsidRPr="00583D2A">
        <w:rPr>
          <w:rFonts w:hint="eastAsia"/>
          <w:rtl/>
        </w:rPr>
        <w:t>המשפט</w:t>
      </w:r>
      <w:r w:rsidRPr="00583D2A">
        <w:rPr>
          <w:rtl/>
        </w:rPr>
        <w:t xml:space="preserve"> </w:t>
      </w:r>
      <w:r w:rsidRPr="00583D2A">
        <w:rPr>
          <w:rFonts w:hint="eastAsia"/>
          <w:rtl/>
        </w:rPr>
        <w:t>יבדוק</w:t>
      </w:r>
      <w:r w:rsidRPr="00583D2A">
        <w:rPr>
          <w:rtl/>
        </w:rPr>
        <w:t xml:space="preserve"> </w:t>
      </w:r>
      <w:r w:rsidRPr="00583D2A">
        <w:rPr>
          <w:rFonts w:hint="eastAsia"/>
          <w:rtl/>
        </w:rPr>
        <w:t>כל</w:t>
      </w:r>
      <w:r w:rsidRPr="00583D2A">
        <w:rPr>
          <w:rtl/>
        </w:rPr>
        <w:t xml:space="preserve"> </w:t>
      </w:r>
      <w:r w:rsidRPr="00583D2A">
        <w:rPr>
          <w:rFonts w:hint="eastAsia"/>
          <w:rtl/>
        </w:rPr>
        <w:t>פרט</w:t>
      </w:r>
      <w:r w:rsidRPr="00583D2A">
        <w:rPr>
          <w:rtl/>
        </w:rPr>
        <w:t xml:space="preserve"> </w:t>
      </w:r>
      <w:r w:rsidRPr="00583D2A">
        <w:rPr>
          <w:rFonts w:hint="eastAsia"/>
          <w:rtl/>
        </w:rPr>
        <w:t>ופרט</w:t>
      </w:r>
      <w:r w:rsidRPr="00583D2A">
        <w:rPr>
          <w:rtl/>
        </w:rPr>
        <w:t xml:space="preserve"> </w:t>
      </w:r>
      <w:r w:rsidRPr="00583D2A">
        <w:rPr>
          <w:rFonts w:hint="eastAsia"/>
          <w:rtl/>
        </w:rPr>
        <w:t>בנפרד</w:t>
      </w:r>
      <w:r w:rsidRPr="00583D2A">
        <w:rPr>
          <w:rtl/>
        </w:rPr>
        <w:t xml:space="preserve"> </w:t>
      </w:r>
      <w:r w:rsidRPr="00583D2A">
        <w:rPr>
          <w:rFonts w:hint="eastAsia"/>
          <w:rtl/>
        </w:rPr>
        <w:t>כדי</w:t>
      </w:r>
      <w:r w:rsidRPr="00583D2A">
        <w:rPr>
          <w:rtl/>
        </w:rPr>
        <w:t xml:space="preserve"> </w:t>
      </w:r>
      <w:r w:rsidRPr="00583D2A">
        <w:rPr>
          <w:rFonts w:hint="eastAsia"/>
          <w:rtl/>
        </w:rPr>
        <w:t>לשאול</w:t>
      </w:r>
      <w:r w:rsidRPr="00583D2A">
        <w:rPr>
          <w:rtl/>
        </w:rPr>
        <w:t xml:space="preserve"> </w:t>
      </w:r>
      <w:r w:rsidRPr="00583D2A">
        <w:rPr>
          <w:rFonts w:hint="eastAsia"/>
          <w:rtl/>
        </w:rPr>
        <w:t>עצמו</w:t>
      </w:r>
      <w:r w:rsidRPr="00583D2A">
        <w:rPr>
          <w:rtl/>
        </w:rPr>
        <w:t xml:space="preserve"> </w:t>
      </w:r>
      <w:r w:rsidRPr="00583D2A">
        <w:rPr>
          <w:rFonts w:hint="eastAsia"/>
          <w:rtl/>
        </w:rPr>
        <w:t>האם</w:t>
      </w:r>
      <w:r w:rsidRPr="00583D2A">
        <w:rPr>
          <w:rtl/>
        </w:rPr>
        <w:t xml:space="preserve"> </w:t>
      </w:r>
      <w:r w:rsidRPr="00583D2A">
        <w:rPr>
          <w:rFonts w:hint="eastAsia"/>
          <w:rtl/>
        </w:rPr>
        <w:t>המערער</w:t>
      </w:r>
      <w:r w:rsidRPr="00583D2A">
        <w:rPr>
          <w:rtl/>
        </w:rPr>
        <w:t xml:space="preserve"> </w:t>
      </w:r>
      <w:r w:rsidRPr="00583D2A">
        <w:rPr>
          <w:rFonts w:hint="eastAsia"/>
          <w:rtl/>
        </w:rPr>
        <w:t>מקיים</w:t>
      </w:r>
      <w:r w:rsidRPr="00583D2A">
        <w:rPr>
          <w:rtl/>
        </w:rPr>
        <w:t xml:space="preserve"> </w:t>
      </w:r>
      <w:r w:rsidRPr="00583D2A">
        <w:rPr>
          <w:rFonts w:hint="eastAsia"/>
          <w:rtl/>
        </w:rPr>
        <w:t>את</w:t>
      </w:r>
      <w:r w:rsidRPr="00583D2A">
        <w:rPr>
          <w:rtl/>
        </w:rPr>
        <w:t xml:space="preserve"> </w:t>
      </w:r>
      <w:r w:rsidRPr="00583D2A">
        <w:rPr>
          <w:rFonts w:hint="eastAsia"/>
          <w:rtl/>
        </w:rPr>
        <w:t>יסודות</w:t>
      </w:r>
      <w:r w:rsidRPr="00583D2A">
        <w:rPr>
          <w:rtl/>
        </w:rPr>
        <w:t xml:space="preserve"> </w:t>
      </w:r>
      <w:r w:rsidRPr="00583D2A">
        <w:rPr>
          <w:rFonts w:hint="eastAsia"/>
          <w:rtl/>
        </w:rPr>
        <w:t>העבירה</w:t>
      </w:r>
      <w:r w:rsidRPr="00583D2A">
        <w:rPr>
          <w:rtl/>
        </w:rPr>
        <w:t xml:space="preserve"> </w:t>
      </w:r>
      <w:r w:rsidRPr="00583D2A">
        <w:rPr>
          <w:rFonts w:hint="eastAsia"/>
          <w:rtl/>
        </w:rPr>
        <w:t>של</w:t>
      </w:r>
      <w:r w:rsidRPr="00583D2A">
        <w:rPr>
          <w:rtl/>
        </w:rPr>
        <w:t xml:space="preserve"> </w:t>
      </w:r>
      <w:r w:rsidRPr="00583D2A">
        <w:rPr>
          <w:rFonts w:hint="eastAsia"/>
          <w:rtl/>
        </w:rPr>
        <w:t>הפרת</w:t>
      </w:r>
      <w:r w:rsidRPr="00583D2A">
        <w:rPr>
          <w:rtl/>
        </w:rPr>
        <w:t xml:space="preserve"> </w:t>
      </w:r>
      <w:r w:rsidRPr="00583D2A">
        <w:rPr>
          <w:rFonts w:hint="eastAsia"/>
          <w:rtl/>
        </w:rPr>
        <w:t>אמונים</w:t>
      </w:r>
      <w:r w:rsidRPr="00583D2A">
        <w:rPr>
          <w:rtl/>
        </w:rPr>
        <w:t xml:space="preserve"> </w:t>
      </w:r>
      <w:r w:rsidRPr="00583D2A">
        <w:rPr>
          <w:rFonts w:hint="eastAsia"/>
          <w:rtl/>
        </w:rPr>
        <w:t>ודי</w:t>
      </w:r>
      <w:r w:rsidRPr="00583D2A">
        <w:rPr>
          <w:rtl/>
        </w:rPr>
        <w:t xml:space="preserve"> </w:t>
      </w:r>
      <w:r w:rsidRPr="00583D2A">
        <w:rPr>
          <w:rFonts w:hint="eastAsia"/>
          <w:rtl/>
        </w:rPr>
        <w:t>בלהשקיף</w:t>
      </w:r>
      <w:r w:rsidRPr="00583D2A">
        <w:rPr>
          <w:rtl/>
        </w:rPr>
        <w:t xml:space="preserve"> </w:t>
      </w:r>
      <w:r w:rsidRPr="00583D2A">
        <w:rPr>
          <w:rFonts w:hint="eastAsia"/>
          <w:rtl/>
        </w:rPr>
        <w:t>על</w:t>
      </w:r>
      <w:r w:rsidRPr="00583D2A">
        <w:rPr>
          <w:rtl/>
        </w:rPr>
        <w:t xml:space="preserve"> </w:t>
      </w:r>
      <w:r w:rsidRPr="00583D2A">
        <w:rPr>
          <w:rFonts w:hint="eastAsia"/>
          <w:rtl/>
        </w:rPr>
        <w:t>התנהגותו</w:t>
      </w:r>
      <w:r w:rsidRPr="00583D2A">
        <w:rPr>
          <w:rtl/>
        </w:rPr>
        <w:t xml:space="preserve"> </w:t>
      </w:r>
      <w:r w:rsidRPr="00583D2A">
        <w:rPr>
          <w:rFonts w:hint="eastAsia"/>
          <w:rtl/>
        </w:rPr>
        <w:t>הכוללת</w:t>
      </w:r>
      <w:r w:rsidRPr="00583D2A">
        <w:rPr>
          <w:rtl/>
        </w:rPr>
        <w:t xml:space="preserve"> </w:t>
      </w:r>
      <w:r w:rsidRPr="00583D2A">
        <w:rPr>
          <w:rFonts w:hint="eastAsia"/>
          <w:rtl/>
        </w:rPr>
        <w:t>של</w:t>
      </w:r>
      <w:r w:rsidRPr="00583D2A">
        <w:rPr>
          <w:rtl/>
        </w:rPr>
        <w:t xml:space="preserve"> </w:t>
      </w:r>
      <w:r w:rsidRPr="00583D2A">
        <w:rPr>
          <w:rFonts w:hint="eastAsia"/>
          <w:rtl/>
        </w:rPr>
        <w:t>המערער</w:t>
      </w:r>
      <w:r>
        <w:rPr>
          <w:rFonts w:hint="cs"/>
          <w:rtl/>
        </w:rPr>
        <w:t>" (שם, בפסקה 47)</w:t>
      </w:r>
      <w:r w:rsidRPr="00583D2A">
        <w:rPr>
          <w:rtl/>
        </w:rPr>
        <w:t>.</w:t>
      </w:r>
      <w:r>
        <w:rPr>
          <w:rFonts w:hint="cs"/>
          <w:rtl/>
        </w:rPr>
        <w:t xml:space="preserve"> </w:t>
      </w:r>
    </w:p>
    <w:p w:rsidR="000F3C05" w:rsidRDefault="000F3C05" w:rsidP="000F3C05">
      <w:pPr>
        <w:pStyle w:val="af6"/>
        <w:rPr>
          <w:rtl/>
        </w:rPr>
      </w:pPr>
      <w:r>
        <w:rPr>
          <w:rtl/>
        </w:rPr>
        <w:tab/>
      </w:r>
      <w:r>
        <w:rPr>
          <w:rFonts w:hint="cs"/>
          <w:rtl/>
        </w:rPr>
        <w:t xml:space="preserve">אך גם באותו עניין, כל אחד </w:t>
      </w:r>
      <w:proofErr w:type="spellStart"/>
      <w:r>
        <w:rPr>
          <w:rFonts w:hint="cs"/>
          <w:rtl/>
        </w:rPr>
        <w:t>מהאישומים</w:t>
      </w:r>
      <w:proofErr w:type="spellEnd"/>
      <w:r>
        <w:rPr>
          <w:rFonts w:hint="cs"/>
          <w:rtl/>
        </w:rPr>
        <w:t xml:space="preserve"> הנדונים עסק בפעולות שביצע הנאשם כדי להסדיר ואף להכשיר בניה בלתי חוקית שביצע אדם אחד, כך שכל אותן פעולות נעשו למען אותה מטרה, וממילא יש הגיון להתייחס אליהן כאל מכלול אחד.</w:t>
      </w:r>
    </w:p>
    <w:p w:rsidR="000F3C05" w:rsidRDefault="000F3C05" w:rsidP="000F3C05">
      <w:pPr>
        <w:pStyle w:val="af6"/>
        <w:rPr>
          <w:rtl/>
        </w:rPr>
      </w:pPr>
      <w:r>
        <w:rPr>
          <w:rtl/>
        </w:rPr>
        <w:tab/>
      </w:r>
      <w:r>
        <w:rPr>
          <w:rFonts w:hint="cs"/>
          <w:rtl/>
        </w:rPr>
        <w:t xml:space="preserve">לעומת כל המקרים המתוארים, </w:t>
      </w:r>
      <w:r w:rsidRPr="00DE2D04">
        <w:rPr>
          <w:rFonts w:hint="eastAsia"/>
          <w:rtl/>
        </w:rPr>
        <w:t>בענייננו</w:t>
      </w:r>
      <w:r w:rsidRPr="00DE2D04">
        <w:rPr>
          <w:rtl/>
        </w:rPr>
        <w:t xml:space="preserve">, </w:t>
      </w:r>
      <w:r w:rsidRPr="00DE2D04">
        <w:rPr>
          <w:rFonts w:hint="eastAsia"/>
          <w:rtl/>
        </w:rPr>
        <w:t>לא</w:t>
      </w:r>
      <w:r w:rsidRPr="00DE2D04">
        <w:rPr>
          <w:rtl/>
        </w:rPr>
        <w:t xml:space="preserve"> </w:t>
      </w:r>
      <w:r w:rsidRPr="00DE2D04">
        <w:rPr>
          <w:rFonts w:hint="eastAsia"/>
          <w:rtl/>
        </w:rPr>
        <w:t>נטען</w:t>
      </w:r>
      <w:r w:rsidRPr="00DE2D04">
        <w:rPr>
          <w:rtl/>
        </w:rPr>
        <w:t xml:space="preserve"> </w:t>
      </w:r>
      <w:r w:rsidRPr="00DE2D04">
        <w:rPr>
          <w:rFonts w:hint="eastAsia"/>
          <w:rtl/>
        </w:rPr>
        <w:t>וממילא</w:t>
      </w:r>
      <w:r w:rsidRPr="00DE2D04">
        <w:rPr>
          <w:rtl/>
        </w:rPr>
        <w:t xml:space="preserve"> </w:t>
      </w:r>
      <w:r w:rsidRPr="00DE2D04">
        <w:rPr>
          <w:rFonts w:hint="eastAsia"/>
          <w:rtl/>
        </w:rPr>
        <w:t>גם</w:t>
      </w:r>
      <w:r w:rsidRPr="00DE2D04">
        <w:rPr>
          <w:rtl/>
        </w:rPr>
        <w:t xml:space="preserve"> </w:t>
      </w:r>
      <w:r w:rsidRPr="00DE2D04">
        <w:rPr>
          <w:rFonts w:hint="eastAsia"/>
          <w:rtl/>
        </w:rPr>
        <w:t>לא</w:t>
      </w:r>
      <w:r w:rsidRPr="00DE2D04">
        <w:rPr>
          <w:rtl/>
        </w:rPr>
        <w:t xml:space="preserve"> </w:t>
      </w:r>
      <w:r w:rsidRPr="00DE2D04">
        <w:rPr>
          <w:rFonts w:hint="eastAsia"/>
          <w:rtl/>
        </w:rPr>
        <w:t>הוכח</w:t>
      </w:r>
      <w:r w:rsidRPr="00DE2D04">
        <w:rPr>
          <w:rtl/>
        </w:rPr>
        <w:t xml:space="preserve"> </w:t>
      </w:r>
      <w:r w:rsidRPr="00DE2D04">
        <w:rPr>
          <w:rFonts w:hint="eastAsia"/>
          <w:rtl/>
        </w:rPr>
        <w:t>כי</w:t>
      </w:r>
      <w:r w:rsidRPr="00DE2D04">
        <w:rPr>
          <w:rtl/>
        </w:rPr>
        <w:t xml:space="preserve"> </w:t>
      </w:r>
      <w:r>
        <w:rPr>
          <w:rFonts w:hint="eastAsia"/>
          <w:rtl/>
        </w:rPr>
        <w:t>הייתה</w:t>
      </w:r>
      <w:r w:rsidRPr="00DE2D04">
        <w:rPr>
          <w:rtl/>
        </w:rPr>
        <w:t xml:space="preserve"> </w:t>
      </w:r>
      <w:r w:rsidRPr="00DE2D04">
        <w:rPr>
          <w:rFonts w:hint="eastAsia"/>
          <w:rtl/>
        </w:rPr>
        <w:t>ל</w:t>
      </w:r>
      <w:r>
        <w:rPr>
          <w:rFonts w:hint="eastAsia"/>
          <w:rtl/>
        </w:rPr>
        <w:t>מבקש</w:t>
      </w:r>
      <w:r w:rsidRPr="00DE2D04">
        <w:rPr>
          <w:rtl/>
        </w:rPr>
        <w:t xml:space="preserve"> "</w:t>
      </w:r>
      <w:r w:rsidRPr="00DE2D04">
        <w:rPr>
          <w:rFonts w:hint="eastAsia"/>
          <w:rtl/>
        </w:rPr>
        <w:t>תכנית</w:t>
      </w:r>
      <w:r w:rsidRPr="00DE2D04">
        <w:rPr>
          <w:rtl/>
        </w:rPr>
        <w:t xml:space="preserve"> </w:t>
      </w:r>
      <w:r w:rsidRPr="00DE2D04">
        <w:rPr>
          <w:rFonts w:hint="eastAsia"/>
          <w:rtl/>
        </w:rPr>
        <w:t>על</w:t>
      </w:r>
      <w:r w:rsidRPr="00DE2D04">
        <w:rPr>
          <w:rtl/>
        </w:rPr>
        <w:t xml:space="preserve">" </w:t>
      </w:r>
      <w:r w:rsidRPr="00DE2D04">
        <w:rPr>
          <w:rFonts w:hint="eastAsia"/>
          <w:rtl/>
        </w:rPr>
        <w:t>אותה</w:t>
      </w:r>
      <w:r w:rsidRPr="00DE2D04">
        <w:rPr>
          <w:rtl/>
        </w:rPr>
        <w:t xml:space="preserve"> </w:t>
      </w:r>
      <w:r w:rsidRPr="00DE2D04">
        <w:rPr>
          <w:rFonts w:hint="eastAsia"/>
          <w:rtl/>
        </w:rPr>
        <w:t>ביקש</w:t>
      </w:r>
      <w:r w:rsidRPr="00DE2D04">
        <w:rPr>
          <w:rtl/>
        </w:rPr>
        <w:t xml:space="preserve"> </w:t>
      </w:r>
      <w:r w:rsidRPr="00DE2D04">
        <w:rPr>
          <w:rFonts w:hint="eastAsia"/>
          <w:rtl/>
        </w:rPr>
        <w:t>לקדם</w:t>
      </w:r>
      <w:r w:rsidRPr="00DE2D04">
        <w:rPr>
          <w:rtl/>
        </w:rPr>
        <w:t xml:space="preserve"> </w:t>
      </w:r>
      <w:r w:rsidRPr="00DE2D04">
        <w:rPr>
          <w:rFonts w:hint="eastAsia"/>
          <w:rtl/>
        </w:rPr>
        <w:t>באמצעות</w:t>
      </w:r>
      <w:r w:rsidRPr="00DE2D04">
        <w:rPr>
          <w:rtl/>
        </w:rPr>
        <w:t xml:space="preserve"> </w:t>
      </w:r>
      <w:r w:rsidRPr="00DE2D04">
        <w:rPr>
          <w:rFonts w:hint="eastAsia"/>
          <w:rtl/>
        </w:rPr>
        <w:t>הפעולות</w:t>
      </w:r>
      <w:r w:rsidRPr="00DE2D04">
        <w:rPr>
          <w:rtl/>
        </w:rPr>
        <w:t xml:space="preserve"> </w:t>
      </w:r>
      <w:r w:rsidRPr="00DE2D04">
        <w:rPr>
          <w:rFonts w:hint="eastAsia"/>
          <w:rtl/>
        </w:rPr>
        <w:t>שביצע</w:t>
      </w:r>
      <w:r w:rsidRPr="00DE2D04">
        <w:rPr>
          <w:rtl/>
        </w:rPr>
        <w:t xml:space="preserve"> </w:t>
      </w:r>
      <w:r w:rsidRPr="00DE2D04">
        <w:rPr>
          <w:rFonts w:hint="eastAsia"/>
          <w:rtl/>
        </w:rPr>
        <w:t>בניגוד</w:t>
      </w:r>
      <w:r w:rsidRPr="00DE2D04">
        <w:rPr>
          <w:rtl/>
        </w:rPr>
        <w:t xml:space="preserve"> </w:t>
      </w:r>
      <w:r w:rsidRPr="00DE2D04">
        <w:rPr>
          <w:rFonts w:hint="eastAsia"/>
          <w:rtl/>
        </w:rPr>
        <w:t>עניינים</w:t>
      </w:r>
      <w:r w:rsidRPr="00DE2D04">
        <w:rPr>
          <w:rtl/>
        </w:rPr>
        <w:t xml:space="preserve"> (</w:t>
      </w:r>
      <w:r w:rsidRPr="00DE2D04">
        <w:rPr>
          <w:rFonts w:hint="eastAsia"/>
          <w:rtl/>
        </w:rPr>
        <w:t>הדיון</w:t>
      </w:r>
      <w:r w:rsidRPr="00DE2D04">
        <w:rPr>
          <w:rtl/>
        </w:rPr>
        <w:t xml:space="preserve"> </w:t>
      </w:r>
      <w:r w:rsidRPr="00DE2D04">
        <w:rPr>
          <w:rFonts w:hint="eastAsia"/>
          <w:rtl/>
        </w:rPr>
        <w:t>בעניינן</w:t>
      </w:r>
      <w:r w:rsidRPr="00DE2D04">
        <w:rPr>
          <w:rtl/>
        </w:rPr>
        <w:t xml:space="preserve"> </w:t>
      </w:r>
      <w:r w:rsidRPr="00DE2D04">
        <w:rPr>
          <w:rFonts w:hint="eastAsia"/>
          <w:rtl/>
        </w:rPr>
        <w:t>הפרטני</w:t>
      </w:r>
      <w:r w:rsidRPr="00DE2D04">
        <w:rPr>
          <w:rtl/>
        </w:rPr>
        <w:t xml:space="preserve"> </w:t>
      </w:r>
      <w:r w:rsidRPr="00DE2D04">
        <w:rPr>
          <w:rFonts w:hint="eastAsia"/>
          <w:rtl/>
        </w:rPr>
        <w:t>של</w:t>
      </w:r>
      <w:r w:rsidRPr="00DE2D04">
        <w:rPr>
          <w:rtl/>
        </w:rPr>
        <w:t xml:space="preserve"> </w:t>
      </w:r>
      <w:r w:rsidRPr="00DE2D04">
        <w:rPr>
          <w:rFonts w:hint="eastAsia"/>
          <w:rtl/>
        </w:rPr>
        <w:t>כל</w:t>
      </w:r>
      <w:r w:rsidRPr="00DE2D04">
        <w:rPr>
          <w:rtl/>
        </w:rPr>
        <w:t xml:space="preserve"> </w:t>
      </w:r>
      <w:r w:rsidRPr="00DE2D04">
        <w:rPr>
          <w:rFonts w:hint="eastAsia"/>
          <w:rtl/>
        </w:rPr>
        <w:t>אחת</w:t>
      </w:r>
      <w:r w:rsidRPr="00DE2D04">
        <w:rPr>
          <w:rtl/>
        </w:rPr>
        <w:t xml:space="preserve"> </w:t>
      </w:r>
      <w:r w:rsidRPr="00DE2D04">
        <w:rPr>
          <w:rFonts w:hint="eastAsia"/>
          <w:rtl/>
        </w:rPr>
        <w:t>מהשוטרות</w:t>
      </w:r>
      <w:r w:rsidRPr="00DE2D04">
        <w:rPr>
          <w:rtl/>
        </w:rPr>
        <w:t xml:space="preserve">), </w:t>
      </w:r>
      <w:r w:rsidRPr="00DE2D04">
        <w:rPr>
          <w:rFonts w:hint="eastAsia"/>
          <w:rtl/>
        </w:rPr>
        <w:t>ולמעשה</w:t>
      </w:r>
      <w:r w:rsidRPr="00DE2D04">
        <w:rPr>
          <w:rtl/>
        </w:rPr>
        <w:t xml:space="preserve">, </w:t>
      </w:r>
      <w:r w:rsidRPr="00DE2D04">
        <w:rPr>
          <w:rFonts w:hint="eastAsia"/>
          <w:rtl/>
        </w:rPr>
        <w:t>על</w:t>
      </w:r>
      <w:r w:rsidRPr="00DE2D04">
        <w:rPr>
          <w:rtl/>
        </w:rPr>
        <w:t xml:space="preserve"> </w:t>
      </w:r>
      <w:r w:rsidRPr="00DE2D04">
        <w:rPr>
          <w:rFonts w:hint="eastAsia"/>
          <w:rtl/>
        </w:rPr>
        <w:t>פי</w:t>
      </w:r>
      <w:r w:rsidRPr="00DE2D04">
        <w:rPr>
          <w:rtl/>
        </w:rPr>
        <w:t xml:space="preserve"> </w:t>
      </w:r>
      <w:r w:rsidRPr="00DE2D04">
        <w:rPr>
          <w:rFonts w:hint="eastAsia"/>
          <w:rtl/>
        </w:rPr>
        <w:t>קביעותיו</w:t>
      </w:r>
      <w:r w:rsidRPr="00DE2D04">
        <w:rPr>
          <w:rtl/>
        </w:rPr>
        <w:t xml:space="preserve"> </w:t>
      </w:r>
      <w:r w:rsidRPr="00DE2D04">
        <w:rPr>
          <w:rFonts w:hint="eastAsia"/>
          <w:rtl/>
        </w:rPr>
        <w:t>העובדתיות</w:t>
      </w:r>
      <w:r w:rsidRPr="00DE2D04">
        <w:rPr>
          <w:rtl/>
        </w:rPr>
        <w:t xml:space="preserve"> </w:t>
      </w:r>
      <w:r w:rsidRPr="00DE2D04">
        <w:rPr>
          <w:rFonts w:hint="eastAsia"/>
          <w:rtl/>
        </w:rPr>
        <w:t>של</w:t>
      </w:r>
      <w:r w:rsidRPr="00DE2D04">
        <w:rPr>
          <w:rtl/>
        </w:rPr>
        <w:t xml:space="preserve"> </w:t>
      </w:r>
      <w:r w:rsidRPr="00DE2D04">
        <w:rPr>
          <w:rFonts w:hint="eastAsia"/>
          <w:rtl/>
        </w:rPr>
        <w:t>בית</w:t>
      </w:r>
      <w:r w:rsidRPr="00DE2D04">
        <w:rPr>
          <w:rtl/>
        </w:rPr>
        <w:t xml:space="preserve"> </w:t>
      </w:r>
      <w:r w:rsidRPr="00DE2D04">
        <w:rPr>
          <w:rFonts w:hint="eastAsia"/>
          <w:rtl/>
        </w:rPr>
        <w:t>המשפט</w:t>
      </w:r>
      <w:r w:rsidRPr="00DE2D04">
        <w:rPr>
          <w:rtl/>
        </w:rPr>
        <w:t xml:space="preserve"> </w:t>
      </w:r>
      <w:r w:rsidRPr="00DE2D04">
        <w:rPr>
          <w:rFonts w:hint="eastAsia"/>
          <w:rtl/>
        </w:rPr>
        <w:t>המחוזי</w:t>
      </w:r>
      <w:r w:rsidRPr="00DE2D04">
        <w:rPr>
          <w:rtl/>
        </w:rPr>
        <w:t xml:space="preserve">, </w:t>
      </w:r>
      <w:r w:rsidRPr="00DE2D04">
        <w:rPr>
          <w:rFonts w:hint="eastAsia"/>
          <w:rtl/>
        </w:rPr>
        <w:t>מדובר</w:t>
      </w:r>
      <w:r w:rsidRPr="00DE2D04">
        <w:rPr>
          <w:rtl/>
        </w:rPr>
        <w:t xml:space="preserve"> </w:t>
      </w:r>
      <w:r w:rsidRPr="00DE2D04">
        <w:rPr>
          <w:rFonts w:hint="eastAsia"/>
          <w:rtl/>
        </w:rPr>
        <w:t>בשש</w:t>
      </w:r>
      <w:r w:rsidRPr="00DE2D04">
        <w:rPr>
          <w:rtl/>
        </w:rPr>
        <w:t xml:space="preserve"> </w:t>
      </w:r>
      <w:r w:rsidRPr="00DE2D04">
        <w:rPr>
          <w:rFonts w:hint="eastAsia"/>
          <w:rtl/>
        </w:rPr>
        <w:t>פעולות</w:t>
      </w:r>
      <w:r w:rsidRPr="00DE2D04">
        <w:rPr>
          <w:rtl/>
        </w:rPr>
        <w:t xml:space="preserve"> </w:t>
      </w:r>
      <w:r w:rsidRPr="00DE2D04">
        <w:rPr>
          <w:rFonts w:hint="eastAsia"/>
          <w:rtl/>
        </w:rPr>
        <w:t>שונות</w:t>
      </w:r>
      <w:r w:rsidRPr="00DE2D04">
        <w:rPr>
          <w:rtl/>
        </w:rPr>
        <w:t xml:space="preserve"> </w:t>
      </w:r>
      <w:r w:rsidRPr="00DE2D04">
        <w:rPr>
          <w:rFonts w:hint="eastAsia"/>
          <w:rtl/>
        </w:rPr>
        <w:t>שנעשו</w:t>
      </w:r>
      <w:r w:rsidRPr="00DE2D04">
        <w:rPr>
          <w:rtl/>
        </w:rPr>
        <w:t xml:space="preserve"> </w:t>
      </w:r>
      <w:r w:rsidRPr="008E555F">
        <w:rPr>
          <w:rFonts w:ascii="Century" w:hAnsi="Century" w:cs="Miriam" w:hint="eastAsia"/>
          <w:b/>
          <w:spacing w:val="0"/>
          <w:sz w:val="22"/>
          <w:szCs w:val="24"/>
          <w:rtl/>
        </w:rPr>
        <w:t>במהלך</w:t>
      </w:r>
      <w:r w:rsidRPr="008E555F">
        <w:rPr>
          <w:rFonts w:ascii="Century" w:hAnsi="Century" w:cs="Miriam"/>
          <w:b/>
          <w:spacing w:val="0"/>
          <w:sz w:val="22"/>
          <w:szCs w:val="24"/>
          <w:rtl/>
        </w:rPr>
        <w:t xml:space="preserve"> </w:t>
      </w:r>
      <w:r w:rsidRPr="008E555F">
        <w:rPr>
          <w:rFonts w:ascii="Century" w:hAnsi="Century" w:cs="Miriam" w:hint="eastAsia"/>
          <w:b/>
          <w:spacing w:val="0"/>
          <w:sz w:val="22"/>
          <w:szCs w:val="24"/>
          <w:rtl/>
        </w:rPr>
        <w:t>ארבע</w:t>
      </w:r>
      <w:r w:rsidRPr="008E555F">
        <w:rPr>
          <w:rFonts w:ascii="Century" w:hAnsi="Century" w:cs="Miriam"/>
          <w:b/>
          <w:spacing w:val="0"/>
          <w:sz w:val="22"/>
          <w:szCs w:val="24"/>
          <w:rtl/>
        </w:rPr>
        <w:t xml:space="preserve"> </w:t>
      </w:r>
      <w:r w:rsidRPr="008E555F">
        <w:rPr>
          <w:rFonts w:ascii="Century" w:hAnsi="Century" w:cs="Miriam" w:hint="eastAsia"/>
          <w:b/>
          <w:spacing w:val="0"/>
          <w:sz w:val="22"/>
          <w:szCs w:val="24"/>
          <w:rtl/>
        </w:rPr>
        <w:t>שנים</w:t>
      </w:r>
      <w:r w:rsidRPr="00DE2D04">
        <w:rPr>
          <w:rtl/>
        </w:rPr>
        <w:t xml:space="preserve">, </w:t>
      </w:r>
      <w:r w:rsidRPr="00DE2D04">
        <w:rPr>
          <w:rFonts w:hint="eastAsia"/>
          <w:rtl/>
        </w:rPr>
        <w:t>בעניינן</w:t>
      </w:r>
      <w:r w:rsidRPr="00DE2D04">
        <w:rPr>
          <w:rtl/>
        </w:rPr>
        <w:t xml:space="preserve"> </w:t>
      </w:r>
      <w:r w:rsidRPr="00DE2D04">
        <w:rPr>
          <w:rFonts w:hint="eastAsia"/>
          <w:rtl/>
        </w:rPr>
        <w:t>של</w:t>
      </w:r>
      <w:r w:rsidRPr="00DE2D04">
        <w:rPr>
          <w:rtl/>
        </w:rPr>
        <w:t xml:space="preserve"> </w:t>
      </w:r>
      <w:r w:rsidRPr="00DE2D04">
        <w:rPr>
          <w:rFonts w:hint="eastAsia"/>
          <w:rtl/>
        </w:rPr>
        <w:t>שוטרות</w:t>
      </w:r>
      <w:r w:rsidRPr="00DE2D04">
        <w:rPr>
          <w:rtl/>
        </w:rPr>
        <w:t xml:space="preserve"> </w:t>
      </w:r>
      <w:r w:rsidRPr="00DE2D04">
        <w:rPr>
          <w:rFonts w:hint="eastAsia"/>
          <w:rtl/>
        </w:rPr>
        <w:t>שונות</w:t>
      </w:r>
      <w:r w:rsidRPr="00DE2D04">
        <w:rPr>
          <w:rtl/>
        </w:rPr>
        <w:t xml:space="preserve">, </w:t>
      </w:r>
      <w:r w:rsidRPr="00DE2D04">
        <w:rPr>
          <w:rFonts w:hint="eastAsia"/>
          <w:rtl/>
        </w:rPr>
        <w:t>אשר</w:t>
      </w:r>
      <w:r w:rsidRPr="00DE2D04">
        <w:rPr>
          <w:rtl/>
        </w:rPr>
        <w:t xml:space="preserve"> </w:t>
      </w:r>
      <w:r w:rsidRPr="00DE2D04">
        <w:rPr>
          <w:rFonts w:hint="eastAsia"/>
          <w:rtl/>
        </w:rPr>
        <w:t>הקשר</w:t>
      </w:r>
      <w:r w:rsidRPr="00DE2D04">
        <w:rPr>
          <w:rtl/>
        </w:rPr>
        <w:t xml:space="preserve"> </w:t>
      </w:r>
      <w:r w:rsidRPr="00DE2D04">
        <w:rPr>
          <w:rFonts w:hint="eastAsia"/>
          <w:rtl/>
        </w:rPr>
        <w:t>היחיד</w:t>
      </w:r>
      <w:r w:rsidRPr="00DE2D04">
        <w:rPr>
          <w:rtl/>
        </w:rPr>
        <w:t xml:space="preserve"> </w:t>
      </w:r>
      <w:r w:rsidRPr="00DE2D04">
        <w:rPr>
          <w:rFonts w:hint="eastAsia"/>
          <w:rtl/>
        </w:rPr>
        <w:t>ביניהן</w:t>
      </w:r>
      <w:r w:rsidRPr="00DE2D04">
        <w:rPr>
          <w:rtl/>
        </w:rPr>
        <w:t xml:space="preserve"> </w:t>
      </w:r>
      <w:r w:rsidRPr="00DE2D04">
        <w:rPr>
          <w:rFonts w:hint="eastAsia"/>
          <w:rtl/>
        </w:rPr>
        <w:t>הוא</w:t>
      </w:r>
      <w:r w:rsidRPr="00DE2D04">
        <w:rPr>
          <w:rtl/>
        </w:rPr>
        <w:t xml:space="preserve"> </w:t>
      </w:r>
      <w:r w:rsidRPr="00DE2D04">
        <w:rPr>
          <w:rFonts w:hint="eastAsia"/>
          <w:rtl/>
        </w:rPr>
        <w:t>קיבוצן</w:t>
      </w:r>
      <w:r w:rsidRPr="00DE2D04">
        <w:rPr>
          <w:rtl/>
        </w:rPr>
        <w:t xml:space="preserve"> </w:t>
      </w:r>
      <w:r w:rsidRPr="00DE2D04">
        <w:rPr>
          <w:rFonts w:hint="eastAsia"/>
          <w:rtl/>
        </w:rPr>
        <w:t>לכדי</w:t>
      </w:r>
      <w:r w:rsidRPr="00DE2D04">
        <w:rPr>
          <w:rtl/>
        </w:rPr>
        <w:t xml:space="preserve"> </w:t>
      </w:r>
      <w:r w:rsidRPr="00DE2D04">
        <w:rPr>
          <w:rFonts w:hint="eastAsia"/>
          <w:rtl/>
        </w:rPr>
        <w:t>כתב</w:t>
      </w:r>
      <w:r w:rsidRPr="00DE2D04">
        <w:rPr>
          <w:rtl/>
        </w:rPr>
        <w:t xml:space="preserve"> </w:t>
      </w:r>
      <w:r w:rsidRPr="00DE2D04">
        <w:rPr>
          <w:rFonts w:hint="eastAsia"/>
          <w:rtl/>
        </w:rPr>
        <w:t>אישום</w:t>
      </w:r>
      <w:r w:rsidRPr="00DE2D04">
        <w:rPr>
          <w:rtl/>
        </w:rPr>
        <w:t xml:space="preserve"> </w:t>
      </w:r>
      <w:r w:rsidRPr="00DE2D04">
        <w:rPr>
          <w:rFonts w:hint="eastAsia"/>
          <w:rtl/>
        </w:rPr>
        <w:t>אחד</w:t>
      </w:r>
      <w:r w:rsidRPr="00DE2D04">
        <w:rPr>
          <w:rtl/>
        </w:rPr>
        <w:t xml:space="preserve">, </w:t>
      </w:r>
      <w:r w:rsidRPr="00DE2D04">
        <w:rPr>
          <w:rFonts w:hint="eastAsia"/>
          <w:rtl/>
        </w:rPr>
        <w:t>בפרשות</w:t>
      </w:r>
      <w:r w:rsidRPr="00DE2D04">
        <w:rPr>
          <w:rtl/>
        </w:rPr>
        <w:t xml:space="preserve"> </w:t>
      </w:r>
      <w:r w:rsidRPr="00DE2D04">
        <w:rPr>
          <w:rFonts w:hint="eastAsia"/>
          <w:rtl/>
        </w:rPr>
        <w:t>שונות</w:t>
      </w:r>
      <w:r w:rsidRPr="00DE2D04">
        <w:rPr>
          <w:rtl/>
        </w:rPr>
        <w:t>.</w:t>
      </w:r>
      <w:r>
        <w:rPr>
          <w:rFonts w:hint="cs"/>
          <w:rtl/>
        </w:rPr>
        <w:t xml:space="preserve"> בנסיבות אלה, ובניגוד לנטען על ידי המשיבה, אני סבור כי החלת "תזת הצבירה" על עניינו של המבקש תהווה תקדים</w:t>
      </w:r>
      <w:r w:rsidR="008E555F">
        <w:rPr>
          <w:rFonts w:hint="cs"/>
          <w:rtl/>
        </w:rPr>
        <w:t xml:space="preserve"> שאינו במקומו</w:t>
      </w:r>
      <w:r>
        <w:rPr>
          <w:rFonts w:hint="cs"/>
          <w:rtl/>
        </w:rPr>
        <w:t>.</w:t>
      </w:r>
    </w:p>
    <w:p w:rsidR="000F3C05" w:rsidRDefault="000F3C05" w:rsidP="00FD2519">
      <w:pPr>
        <w:pStyle w:val="a"/>
        <w:rPr>
          <w:rtl/>
        </w:rPr>
      </w:pPr>
      <w:r>
        <w:rPr>
          <w:rFonts w:hint="cs"/>
          <w:rtl/>
        </w:rPr>
        <w:t xml:space="preserve">לבסוף, הפנתה המשיבה גם </w:t>
      </w:r>
      <w:proofErr w:type="spellStart"/>
      <w:r>
        <w:rPr>
          <w:rFonts w:hint="cs"/>
          <w:rtl/>
        </w:rPr>
        <w:t>ל</w:t>
      </w:r>
      <w:r w:rsidRPr="009B2803">
        <w:rPr>
          <w:rFonts w:hint="eastAsia"/>
          <w:rtl/>
        </w:rPr>
        <w:t>רע</w:t>
      </w:r>
      <w:r>
        <w:rPr>
          <w:rFonts w:hint="cs"/>
          <w:rtl/>
        </w:rPr>
        <w:t>"</w:t>
      </w:r>
      <w:r w:rsidRPr="009B2803">
        <w:rPr>
          <w:rFonts w:hint="eastAsia"/>
          <w:rtl/>
        </w:rPr>
        <w:t>פ</w:t>
      </w:r>
      <w:proofErr w:type="spellEnd"/>
      <w:r>
        <w:rPr>
          <w:rtl/>
        </w:rPr>
        <w:t xml:space="preserve"> 10002/17 </w:t>
      </w:r>
      <w:r w:rsidRPr="009B2803">
        <w:rPr>
          <w:rFonts w:cs="Miriam" w:hint="eastAsia"/>
          <w:b/>
          <w:spacing w:val="0"/>
          <w:szCs w:val="24"/>
          <w:rtl/>
        </w:rPr>
        <w:t>איגוד</w:t>
      </w:r>
      <w:r w:rsidRPr="009B2803">
        <w:rPr>
          <w:rFonts w:cs="Miriam"/>
          <w:b/>
          <w:spacing w:val="0"/>
          <w:szCs w:val="24"/>
          <w:rtl/>
        </w:rPr>
        <w:t xml:space="preserve"> </w:t>
      </w:r>
      <w:r w:rsidRPr="009B2803">
        <w:rPr>
          <w:rFonts w:cs="Miriam" w:hint="eastAsia"/>
          <w:b/>
          <w:spacing w:val="0"/>
          <w:szCs w:val="24"/>
          <w:rtl/>
        </w:rPr>
        <w:t>מרכזי</w:t>
      </w:r>
      <w:r w:rsidRPr="009B2803">
        <w:rPr>
          <w:rFonts w:cs="Miriam"/>
          <w:b/>
          <w:spacing w:val="0"/>
          <w:szCs w:val="24"/>
          <w:rtl/>
        </w:rPr>
        <w:t xml:space="preserve"> </w:t>
      </w:r>
      <w:r w:rsidRPr="009B2803">
        <w:rPr>
          <w:rFonts w:cs="Miriam" w:hint="eastAsia"/>
          <w:b/>
          <w:spacing w:val="0"/>
          <w:szCs w:val="24"/>
          <w:rtl/>
        </w:rPr>
        <w:t>הסיוע</w:t>
      </w:r>
      <w:r w:rsidRPr="009B2803">
        <w:rPr>
          <w:rFonts w:cs="Miriam"/>
          <w:b/>
          <w:spacing w:val="0"/>
          <w:szCs w:val="24"/>
          <w:rtl/>
        </w:rPr>
        <w:t xml:space="preserve"> </w:t>
      </w:r>
      <w:r w:rsidRPr="009B2803">
        <w:rPr>
          <w:rFonts w:cs="Miriam" w:hint="eastAsia"/>
          <w:b/>
          <w:spacing w:val="0"/>
          <w:szCs w:val="24"/>
          <w:rtl/>
        </w:rPr>
        <w:t>לנפגעות</w:t>
      </w:r>
      <w:r w:rsidRPr="009B2803">
        <w:rPr>
          <w:rFonts w:cs="Miriam"/>
          <w:b/>
          <w:spacing w:val="0"/>
          <w:szCs w:val="24"/>
          <w:rtl/>
        </w:rPr>
        <w:t xml:space="preserve"> </w:t>
      </w:r>
      <w:r w:rsidRPr="009B2803">
        <w:rPr>
          <w:rFonts w:cs="Miriam" w:hint="eastAsia"/>
          <w:b/>
          <w:spacing w:val="0"/>
          <w:szCs w:val="24"/>
          <w:rtl/>
        </w:rPr>
        <w:t>ונפגעי</w:t>
      </w:r>
      <w:r w:rsidRPr="009B2803">
        <w:rPr>
          <w:rFonts w:cs="Miriam"/>
          <w:b/>
          <w:spacing w:val="0"/>
          <w:szCs w:val="24"/>
          <w:rtl/>
        </w:rPr>
        <w:t xml:space="preserve"> </w:t>
      </w:r>
      <w:r w:rsidRPr="009B2803">
        <w:rPr>
          <w:rFonts w:cs="Miriam" w:hint="eastAsia"/>
          <w:b/>
          <w:spacing w:val="0"/>
          <w:szCs w:val="24"/>
          <w:rtl/>
        </w:rPr>
        <w:t>תקיפה</w:t>
      </w:r>
      <w:r w:rsidRPr="009B2803">
        <w:rPr>
          <w:rFonts w:cs="Miriam"/>
          <w:b/>
          <w:spacing w:val="0"/>
          <w:szCs w:val="24"/>
          <w:rtl/>
        </w:rPr>
        <w:t xml:space="preserve"> </w:t>
      </w:r>
      <w:r w:rsidRPr="009B2803">
        <w:rPr>
          <w:rFonts w:cs="Miriam" w:hint="eastAsia"/>
          <w:b/>
          <w:spacing w:val="0"/>
          <w:szCs w:val="24"/>
          <w:rtl/>
        </w:rPr>
        <w:t>מינית</w:t>
      </w:r>
      <w:r w:rsidRPr="009B2803">
        <w:rPr>
          <w:rFonts w:cs="Miriam"/>
          <w:b/>
          <w:spacing w:val="0"/>
          <w:szCs w:val="24"/>
          <w:rtl/>
        </w:rPr>
        <w:t xml:space="preserve"> </w:t>
      </w:r>
      <w:proofErr w:type="spellStart"/>
      <w:r w:rsidRPr="009B2803">
        <w:rPr>
          <w:rFonts w:cs="Miriam" w:hint="eastAsia"/>
          <w:b/>
          <w:spacing w:val="0"/>
          <w:szCs w:val="24"/>
          <w:rtl/>
        </w:rPr>
        <w:t>ע</w:t>
      </w:r>
      <w:r w:rsidRPr="009B2803">
        <w:rPr>
          <w:rFonts w:cs="Miriam"/>
          <w:b/>
          <w:spacing w:val="0"/>
          <w:szCs w:val="24"/>
          <w:rtl/>
        </w:rPr>
        <w:t>"</w:t>
      </w:r>
      <w:r w:rsidRPr="009B2803">
        <w:rPr>
          <w:rFonts w:cs="Miriam" w:hint="eastAsia"/>
          <w:b/>
          <w:spacing w:val="0"/>
          <w:szCs w:val="24"/>
          <w:rtl/>
        </w:rPr>
        <w:t>ר</w:t>
      </w:r>
      <w:proofErr w:type="spellEnd"/>
      <w:r w:rsidRPr="009B2803">
        <w:rPr>
          <w:rFonts w:cs="Miriam"/>
          <w:b/>
          <w:spacing w:val="0"/>
          <w:szCs w:val="24"/>
          <w:rtl/>
        </w:rPr>
        <w:t xml:space="preserve"> </w:t>
      </w:r>
      <w:r w:rsidRPr="009B2803">
        <w:rPr>
          <w:rFonts w:cs="Miriam" w:hint="eastAsia"/>
          <w:b/>
          <w:spacing w:val="0"/>
          <w:szCs w:val="24"/>
          <w:rtl/>
        </w:rPr>
        <w:t>נ</w:t>
      </w:r>
      <w:r w:rsidRPr="009B2803">
        <w:rPr>
          <w:rFonts w:cs="Miriam"/>
          <w:b/>
          <w:spacing w:val="0"/>
          <w:szCs w:val="24"/>
          <w:rtl/>
        </w:rPr>
        <w:t xml:space="preserve">' </w:t>
      </w:r>
      <w:r w:rsidRPr="009B2803">
        <w:rPr>
          <w:rFonts w:cs="Miriam" w:hint="eastAsia"/>
          <w:b/>
          <w:spacing w:val="0"/>
          <w:szCs w:val="24"/>
          <w:rtl/>
        </w:rPr>
        <w:t>ניסים</w:t>
      </w:r>
      <w:r w:rsidRPr="009B2803">
        <w:rPr>
          <w:rFonts w:cs="Miriam"/>
          <w:b/>
          <w:spacing w:val="0"/>
          <w:szCs w:val="24"/>
          <w:rtl/>
        </w:rPr>
        <w:t xml:space="preserve"> </w:t>
      </w:r>
      <w:r w:rsidRPr="009B2803">
        <w:rPr>
          <w:rFonts w:cs="Miriam" w:hint="eastAsia"/>
          <w:b/>
          <w:spacing w:val="0"/>
          <w:szCs w:val="24"/>
          <w:rtl/>
        </w:rPr>
        <w:t>מור</w:t>
      </w:r>
      <w:r w:rsidRPr="009B2803">
        <w:rPr>
          <w:rtl/>
        </w:rPr>
        <w:t xml:space="preserve"> (‏18.7.2018)</w:t>
      </w:r>
      <w:r w:rsidR="00FD2519">
        <w:rPr>
          <w:rFonts w:hint="cs"/>
          <w:rtl/>
        </w:rPr>
        <w:t>, פרשה שבה</w:t>
      </w:r>
      <w:r>
        <w:rPr>
          <w:rFonts w:hint="cs"/>
          <w:rtl/>
        </w:rPr>
        <w:t xml:space="preserve"> החמיר בית משפט זה בעונשו </w:t>
      </w:r>
      <w:r w:rsidRPr="009B2803">
        <w:rPr>
          <w:rFonts w:hint="eastAsia"/>
          <w:rtl/>
        </w:rPr>
        <w:t>של</w:t>
      </w:r>
      <w:r w:rsidRPr="009B2803">
        <w:rPr>
          <w:rtl/>
        </w:rPr>
        <w:t xml:space="preserve"> </w:t>
      </w:r>
      <w:r w:rsidRPr="009B2803">
        <w:rPr>
          <w:rFonts w:hint="eastAsia"/>
          <w:rtl/>
        </w:rPr>
        <w:t>סמפכ</w:t>
      </w:r>
      <w:r w:rsidRPr="009B2803">
        <w:rPr>
          <w:rtl/>
        </w:rPr>
        <w:t>"</w:t>
      </w:r>
      <w:r w:rsidRPr="009B2803">
        <w:rPr>
          <w:rFonts w:hint="eastAsia"/>
          <w:rtl/>
        </w:rPr>
        <w:t>ל</w:t>
      </w:r>
      <w:r w:rsidRPr="009B2803">
        <w:rPr>
          <w:rtl/>
        </w:rPr>
        <w:t xml:space="preserve"> </w:t>
      </w:r>
      <w:r w:rsidRPr="009B2803">
        <w:rPr>
          <w:rFonts w:hint="eastAsia"/>
          <w:rtl/>
        </w:rPr>
        <w:t>המשטרה</w:t>
      </w:r>
      <w:r w:rsidRPr="009B2803">
        <w:rPr>
          <w:rtl/>
        </w:rPr>
        <w:t xml:space="preserve"> </w:t>
      </w:r>
      <w:r w:rsidRPr="009B2803">
        <w:rPr>
          <w:rFonts w:hint="eastAsia"/>
          <w:rtl/>
        </w:rPr>
        <w:t>לשעבר</w:t>
      </w:r>
      <w:r w:rsidRPr="009B2803">
        <w:rPr>
          <w:rtl/>
        </w:rPr>
        <w:t xml:space="preserve"> </w:t>
      </w:r>
      <w:r w:rsidRPr="009B2803">
        <w:rPr>
          <w:rFonts w:hint="eastAsia"/>
          <w:rtl/>
        </w:rPr>
        <w:t>שהורשע</w:t>
      </w:r>
      <w:r w:rsidRPr="009B2803">
        <w:rPr>
          <w:rtl/>
        </w:rPr>
        <w:t xml:space="preserve"> </w:t>
      </w:r>
      <w:r>
        <w:rPr>
          <w:rFonts w:hint="cs"/>
          <w:rtl/>
        </w:rPr>
        <w:t xml:space="preserve">על פי הודאתו במסגרת הסדר טיעון </w:t>
      </w:r>
      <w:r>
        <w:rPr>
          <w:rFonts w:hint="eastAsia"/>
          <w:rtl/>
        </w:rPr>
        <w:t>בעביר</w:t>
      </w:r>
      <w:r>
        <w:rPr>
          <w:rFonts w:hint="cs"/>
          <w:rtl/>
        </w:rPr>
        <w:t>ה</w:t>
      </w:r>
      <w:r w:rsidRPr="009B2803">
        <w:rPr>
          <w:rtl/>
        </w:rPr>
        <w:t xml:space="preserve"> </w:t>
      </w:r>
      <w:r w:rsidRPr="009B2803">
        <w:rPr>
          <w:rFonts w:hint="eastAsia"/>
          <w:rtl/>
        </w:rPr>
        <w:t>של</w:t>
      </w:r>
      <w:r w:rsidRPr="009B2803">
        <w:rPr>
          <w:rtl/>
        </w:rPr>
        <w:t xml:space="preserve"> </w:t>
      </w:r>
      <w:r>
        <w:rPr>
          <w:rFonts w:hint="cs"/>
          <w:rtl/>
        </w:rPr>
        <w:t>מרמה ו</w:t>
      </w:r>
      <w:r w:rsidRPr="009B2803">
        <w:rPr>
          <w:rFonts w:hint="eastAsia"/>
          <w:rtl/>
        </w:rPr>
        <w:t>הפרת</w:t>
      </w:r>
      <w:r w:rsidRPr="009B2803">
        <w:rPr>
          <w:rtl/>
        </w:rPr>
        <w:t xml:space="preserve"> </w:t>
      </w:r>
      <w:r w:rsidRPr="009B2803">
        <w:rPr>
          <w:rFonts w:hint="eastAsia"/>
          <w:rtl/>
        </w:rPr>
        <w:t>אמונים</w:t>
      </w:r>
      <w:r w:rsidRPr="009B2803">
        <w:rPr>
          <w:rtl/>
        </w:rPr>
        <w:t xml:space="preserve"> </w:t>
      </w:r>
      <w:r w:rsidRPr="009B2803">
        <w:rPr>
          <w:rFonts w:hint="eastAsia"/>
          <w:rtl/>
        </w:rPr>
        <w:t>ו</w:t>
      </w:r>
      <w:r>
        <w:rPr>
          <w:rFonts w:hint="cs"/>
          <w:rtl/>
        </w:rPr>
        <w:t xml:space="preserve">בעבירה של </w:t>
      </w:r>
      <w:r w:rsidRPr="009B2803">
        <w:rPr>
          <w:rFonts w:hint="eastAsia"/>
          <w:rtl/>
        </w:rPr>
        <w:t>הטרדה</w:t>
      </w:r>
      <w:r w:rsidRPr="009B2803">
        <w:rPr>
          <w:rtl/>
        </w:rPr>
        <w:t xml:space="preserve"> </w:t>
      </w:r>
      <w:r w:rsidRPr="009B2803">
        <w:rPr>
          <w:rFonts w:hint="eastAsia"/>
          <w:rtl/>
        </w:rPr>
        <w:t>מינית</w:t>
      </w:r>
      <w:r w:rsidRPr="009B2803">
        <w:rPr>
          <w:rtl/>
        </w:rPr>
        <w:t xml:space="preserve"> </w:t>
      </w:r>
      <w:r w:rsidRPr="009B2803">
        <w:rPr>
          <w:rFonts w:hint="eastAsia"/>
          <w:rtl/>
        </w:rPr>
        <w:t>ב</w:t>
      </w:r>
      <w:r w:rsidRPr="009B2803">
        <w:rPr>
          <w:rtl/>
        </w:rPr>
        <w:t xml:space="preserve">-3 </w:t>
      </w:r>
      <w:r w:rsidRPr="009B2803">
        <w:rPr>
          <w:rFonts w:hint="eastAsia"/>
          <w:rtl/>
        </w:rPr>
        <w:t>שוטרות</w:t>
      </w:r>
      <w:r>
        <w:rPr>
          <w:rFonts w:hint="cs"/>
          <w:rtl/>
        </w:rPr>
        <w:t>. בהקשר זה, הפנתה המשיבה במיוחד לקביעתו של בית המשפט לפיה "מעשיו, בין כשלעצמם ו</w:t>
      </w:r>
      <w:r w:rsidRPr="00DE2D04">
        <w:rPr>
          <w:rFonts w:cs="Miriam" w:hint="cs"/>
          <w:b/>
          <w:spacing w:val="0"/>
          <w:szCs w:val="24"/>
          <w:rtl/>
        </w:rPr>
        <w:t>בין בהצטברותם</w:t>
      </w:r>
      <w:r>
        <w:rPr>
          <w:rFonts w:hint="cs"/>
          <w:rtl/>
        </w:rPr>
        <w:t xml:space="preserve">, מהווים הפרת אמונים הפוגעת בציבור" (שם, בפסקה 22; ההדגשה הוספה </w:t>
      </w:r>
      <w:r>
        <w:rPr>
          <w:rtl/>
        </w:rPr>
        <w:t>–</w:t>
      </w:r>
      <w:r>
        <w:rPr>
          <w:rFonts w:hint="cs"/>
          <w:rtl/>
        </w:rPr>
        <w:t xml:space="preserve"> </w:t>
      </w:r>
      <w:r w:rsidRPr="00DE2D04">
        <w:rPr>
          <w:rFonts w:cs="Miriam" w:hint="cs"/>
          <w:b/>
          <w:spacing w:val="0"/>
          <w:szCs w:val="24"/>
          <w:rtl/>
        </w:rPr>
        <w:t>י' א'</w:t>
      </w:r>
      <w:r>
        <w:rPr>
          <w:rFonts w:hint="cs"/>
          <w:rtl/>
        </w:rPr>
        <w:t xml:space="preserve">). </w:t>
      </w:r>
    </w:p>
    <w:p w:rsidR="000F3C05" w:rsidRDefault="000F3C05" w:rsidP="000F3C05">
      <w:pPr>
        <w:pStyle w:val="af6"/>
        <w:rPr>
          <w:rtl/>
        </w:rPr>
      </w:pPr>
      <w:r>
        <w:rPr>
          <w:rFonts w:hint="cs"/>
          <w:rtl/>
        </w:rPr>
        <w:t xml:space="preserve">אולם, אין הנדון דומה לראיה. ראשית, אין לגזור גזירה שווה </w:t>
      </w:r>
      <w:r w:rsidRPr="00895777">
        <w:rPr>
          <w:rFonts w:ascii="Century" w:hAnsi="Century" w:hint="cs"/>
          <w:sz w:val="22"/>
          <w:rtl/>
        </w:rPr>
        <w:t>בין עניין</w:t>
      </w:r>
      <w:r w:rsidRPr="00895777">
        <w:rPr>
          <w:rFonts w:cs="Miriam" w:hint="cs"/>
          <w:b/>
          <w:spacing w:val="0"/>
          <w:szCs w:val="24"/>
          <w:rtl/>
        </w:rPr>
        <w:t xml:space="preserve"> </w:t>
      </w:r>
      <w:r w:rsidRPr="00DE2D04">
        <w:rPr>
          <w:rFonts w:cs="Miriam" w:hint="cs"/>
          <w:b/>
          <w:spacing w:val="0"/>
          <w:szCs w:val="24"/>
          <w:rtl/>
        </w:rPr>
        <w:t>מור</w:t>
      </w:r>
      <w:r w:rsidRPr="00DE2D04">
        <w:rPr>
          <w:rFonts w:hint="cs"/>
          <w:rtl/>
        </w:rPr>
        <w:t xml:space="preserve"> </w:t>
      </w:r>
      <w:r>
        <w:rPr>
          <w:rFonts w:hint="cs"/>
          <w:rtl/>
        </w:rPr>
        <w:t xml:space="preserve">לענייננו, שכן באותו עניין פעל הנאשם במרמה כלפי המתלוננות תוך שהציג מצג שווא </w:t>
      </w:r>
      <w:r>
        <w:rPr>
          <w:rFonts w:hint="cs"/>
          <w:rtl/>
        </w:rPr>
        <w:lastRenderedPageBreak/>
        <w:t xml:space="preserve">לפיו יסייע להן לקדם את ענייניהן האישיים במשטרה וזאת כדי שייאותו לנהל עמו מערכת יחסים אינטימית, שלא היו מעוניינות בה. </w:t>
      </w:r>
    </w:p>
    <w:p w:rsidR="000F3C05" w:rsidRDefault="000F3C05" w:rsidP="000F3C05">
      <w:pPr>
        <w:pStyle w:val="af6"/>
        <w:rPr>
          <w:rtl/>
        </w:rPr>
      </w:pPr>
      <w:r>
        <w:rPr>
          <w:rtl/>
        </w:rPr>
        <w:tab/>
      </w:r>
      <w:r>
        <w:rPr>
          <w:rFonts w:hint="cs"/>
          <w:rtl/>
        </w:rPr>
        <w:t xml:space="preserve">בענייננו, לעומת זאת, לא נטען וממילא לא הוכח כי הפעולות שביצע המבקש בעניינן של השוטרות (שבחלק מהמקרים כלל לא היטיבו איתן) לא נעשו כחלק מרצונו לקידום הקשר האינטימי. בהיבט זה מעשיו של מור חמורים יותר. שנית, והיא העיקר, מסגרת הדיון </w:t>
      </w:r>
      <w:r w:rsidRPr="00895777">
        <w:rPr>
          <w:rFonts w:ascii="Century" w:hAnsi="Century" w:hint="cs"/>
          <w:sz w:val="22"/>
          <w:rtl/>
        </w:rPr>
        <w:t>בעניין</w:t>
      </w:r>
      <w:r w:rsidRPr="00895777">
        <w:rPr>
          <w:rFonts w:cs="Miriam" w:hint="cs"/>
          <w:b/>
          <w:spacing w:val="0"/>
          <w:szCs w:val="24"/>
          <w:rtl/>
        </w:rPr>
        <w:t xml:space="preserve"> </w:t>
      </w:r>
      <w:r w:rsidRPr="00A72388">
        <w:rPr>
          <w:rFonts w:cs="Miriam" w:hint="cs"/>
          <w:b/>
          <w:spacing w:val="0"/>
          <w:szCs w:val="24"/>
          <w:rtl/>
        </w:rPr>
        <w:t xml:space="preserve">מור </w:t>
      </w:r>
      <w:r>
        <w:rPr>
          <w:rFonts w:hint="cs"/>
          <w:rtl/>
        </w:rPr>
        <w:t xml:space="preserve">היא </w:t>
      </w:r>
      <w:proofErr w:type="spellStart"/>
      <w:r>
        <w:rPr>
          <w:rFonts w:hint="cs"/>
          <w:rtl/>
        </w:rPr>
        <w:t>עונשית</w:t>
      </w:r>
      <w:proofErr w:type="spellEnd"/>
      <w:r>
        <w:rPr>
          <w:rFonts w:hint="cs"/>
          <w:rtl/>
        </w:rPr>
        <w:t xml:space="preserve"> בלבד, שכן הערעור עסק אך ורק במידת העונש הראויה לו, לאחר שהורשע על פי הודאתו. ממילא, אין לראות במילים המצוטטות מתוך פסק הדין כהבעת דעה לעניין עצם ההיתכנות לצבירת מעשים או פעולות שונות לכדי עבירה אחת. </w:t>
      </w:r>
    </w:p>
    <w:p w:rsidR="000F3C05" w:rsidRDefault="000F3C05" w:rsidP="000F3C05">
      <w:pPr>
        <w:pStyle w:val="a"/>
        <w:rPr>
          <w:rtl/>
        </w:rPr>
      </w:pPr>
      <w:r>
        <w:rPr>
          <w:rFonts w:hint="cs"/>
          <w:rtl/>
        </w:rPr>
        <w:t xml:space="preserve">לשיטת בית המשפט המחוזי, גם בתחומי משפט אחרים הוכרה האפשרות העקרונית לצבירה, כך שלא ניתן לטעון כי "תזת הצבירה" היא דוקטרינה חדשנית או תקדימית גם כאשר מחילים אותה על היסוד העובדתי של עבירת המרמה והפרת האמונים. בהקשר זה, הוזכרו </w:t>
      </w:r>
      <w:r w:rsidRPr="00ED4703">
        <w:rPr>
          <w:rtl/>
        </w:rPr>
        <w:t>"</w:t>
      </w:r>
      <w:r w:rsidRPr="00ED4703">
        <w:rPr>
          <w:rFonts w:hint="eastAsia"/>
          <w:rtl/>
        </w:rPr>
        <w:t>דוקטרינת</w:t>
      </w:r>
      <w:r w:rsidRPr="00ED4703">
        <w:rPr>
          <w:rtl/>
        </w:rPr>
        <w:t xml:space="preserve"> </w:t>
      </w:r>
      <w:r w:rsidRPr="00ED4703">
        <w:rPr>
          <w:rFonts w:hint="eastAsia"/>
          <w:rtl/>
        </w:rPr>
        <w:t>האפקט</w:t>
      </w:r>
      <w:r w:rsidRPr="00ED4703">
        <w:rPr>
          <w:rtl/>
        </w:rPr>
        <w:t xml:space="preserve"> </w:t>
      </w:r>
      <w:r w:rsidRPr="00ED4703">
        <w:rPr>
          <w:rFonts w:hint="eastAsia"/>
          <w:rtl/>
        </w:rPr>
        <w:t>המצטבר</w:t>
      </w:r>
      <w:r w:rsidRPr="00ED4703">
        <w:rPr>
          <w:rtl/>
        </w:rPr>
        <w:t xml:space="preserve">" </w:t>
      </w:r>
      <w:r w:rsidRPr="00ED4703">
        <w:rPr>
          <w:rFonts w:hint="eastAsia"/>
          <w:rtl/>
        </w:rPr>
        <w:t>ב</w:t>
      </w:r>
      <w:r>
        <w:rPr>
          <w:rFonts w:hint="cs"/>
          <w:rtl/>
        </w:rPr>
        <w:t xml:space="preserve">מקרה של </w:t>
      </w:r>
      <w:r w:rsidRPr="00ED4703">
        <w:rPr>
          <w:rFonts w:hint="eastAsia"/>
          <w:rtl/>
        </w:rPr>
        <w:t>פגיעה</w:t>
      </w:r>
      <w:r w:rsidRPr="00ED4703">
        <w:rPr>
          <w:rtl/>
        </w:rPr>
        <w:t xml:space="preserve"> </w:t>
      </w:r>
      <w:r w:rsidRPr="00ED4703">
        <w:rPr>
          <w:rFonts w:hint="eastAsia"/>
          <w:rtl/>
        </w:rPr>
        <w:t>בזכויות</w:t>
      </w:r>
      <w:r w:rsidRPr="00ED4703">
        <w:rPr>
          <w:rtl/>
        </w:rPr>
        <w:t xml:space="preserve"> </w:t>
      </w:r>
      <w:r w:rsidRPr="00ED4703">
        <w:rPr>
          <w:rFonts w:hint="eastAsia"/>
          <w:rtl/>
        </w:rPr>
        <w:t>חוקתיות</w:t>
      </w:r>
      <w:r w:rsidRPr="00ED4703">
        <w:rPr>
          <w:rtl/>
        </w:rPr>
        <w:t xml:space="preserve">, </w:t>
      </w:r>
      <w:r w:rsidRPr="00ED4703">
        <w:rPr>
          <w:rFonts w:hint="eastAsia"/>
          <w:rtl/>
        </w:rPr>
        <w:t>אשר</w:t>
      </w:r>
      <w:r w:rsidRPr="00ED4703">
        <w:rPr>
          <w:rtl/>
        </w:rPr>
        <w:t xml:space="preserve"> </w:t>
      </w:r>
      <w:r w:rsidRPr="00ED4703">
        <w:rPr>
          <w:rFonts w:hint="eastAsia"/>
          <w:rtl/>
        </w:rPr>
        <w:t>לפיה</w:t>
      </w:r>
      <w:r w:rsidRPr="00ED4703">
        <w:rPr>
          <w:rtl/>
        </w:rPr>
        <w:t xml:space="preserve"> </w:t>
      </w:r>
      <w:r w:rsidRPr="00ED4703">
        <w:rPr>
          <w:rFonts w:hint="eastAsia"/>
          <w:rtl/>
        </w:rPr>
        <w:t>הצטברותן</w:t>
      </w:r>
      <w:r w:rsidRPr="00ED4703">
        <w:rPr>
          <w:rtl/>
        </w:rPr>
        <w:t xml:space="preserve"> </w:t>
      </w:r>
      <w:r w:rsidRPr="00ED4703">
        <w:rPr>
          <w:rFonts w:hint="eastAsia"/>
          <w:rtl/>
        </w:rPr>
        <w:t>יחד</w:t>
      </w:r>
      <w:r w:rsidRPr="00ED4703">
        <w:rPr>
          <w:rtl/>
        </w:rPr>
        <w:t xml:space="preserve"> </w:t>
      </w:r>
      <w:r w:rsidRPr="00ED4703">
        <w:rPr>
          <w:rFonts w:hint="eastAsia"/>
          <w:rtl/>
        </w:rPr>
        <w:t>של</w:t>
      </w:r>
      <w:r w:rsidRPr="00ED4703">
        <w:rPr>
          <w:rtl/>
        </w:rPr>
        <w:t xml:space="preserve"> </w:t>
      </w:r>
      <w:r w:rsidRPr="00ED4703">
        <w:rPr>
          <w:rFonts w:hint="eastAsia"/>
          <w:rtl/>
        </w:rPr>
        <w:t>פגיעות</w:t>
      </w:r>
      <w:r w:rsidRPr="00ED4703">
        <w:rPr>
          <w:rtl/>
        </w:rPr>
        <w:t xml:space="preserve"> </w:t>
      </w:r>
      <w:r w:rsidRPr="00ED4703">
        <w:rPr>
          <w:rFonts w:hint="eastAsia"/>
          <w:rtl/>
        </w:rPr>
        <w:t>בזכויות</w:t>
      </w:r>
      <w:r w:rsidRPr="00ED4703">
        <w:rPr>
          <w:rtl/>
        </w:rPr>
        <w:t xml:space="preserve"> </w:t>
      </w:r>
      <w:r w:rsidRPr="00ED4703">
        <w:rPr>
          <w:rFonts w:hint="eastAsia"/>
          <w:rtl/>
        </w:rPr>
        <w:t>נאשם</w:t>
      </w:r>
      <w:r w:rsidRPr="00ED4703">
        <w:rPr>
          <w:rtl/>
        </w:rPr>
        <w:t xml:space="preserve"> </w:t>
      </w:r>
      <w:r w:rsidRPr="00ED4703">
        <w:rPr>
          <w:rFonts w:hint="eastAsia"/>
          <w:rtl/>
        </w:rPr>
        <w:t>עשויה</w:t>
      </w:r>
      <w:r w:rsidRPr="00ED4703">
        <w:rPr>
          <w:rtl/>
        </w:rPr>
        <w:t xml:space="preserve"> </w:t>
      </w:r>
      <w:r w:rsidRPr="00ED4703">
        <w:rPr>
          <w:rFonts w:hint="eastAsia"/>
          <w:rtl/>
        </w:rPr>
        <w:t>לחצות</w:t>
      </w:r>
      <w:r w:rsidRPr="00ED4703">
        <w:rPr>
          <w:rtl/>
        </w:rPr>
        <w:t xml:space="preserve"> </w:t>
      </w:r>
      <w:r w:rsidRPr="00ED4703">
        <w:rPr>
          <w:rFonts w:hint="eastAsia"/>
          <w:rtl/>
        </w:rPr>
        <w:t>את</w:t>
      </w:r>
      <w:r w:rsidRPr="00ED4703">
        <w:rPr>
          <w:rtl/>
        </w:rPr>
        <w:t xml:space="preserve"> </w:t>
      </w:r>
      <w:r w:rsidRPr="00ED4703">
        <w:rPr>
          <w:rFonts w:hint="eastAsia"/>
          <w:rtl/>
        </w:rPr>
        <w:t>הרף</w:t>
      </w:r>
      <w:r w:rsidRPr="00ED4703">
        <w:rPr>
          <w:rtl/>
        </w:rPr>
        <w:t xml:space="preserve"> </w:t>
      </w:r>
      <w:r w:rsidRPr="00ED4703">
        <w:rPr>
          <w:rFonts w:hint="eastAsia"/>
          <w:rtl/>
        </w:rPr>
        <w:t>החוקתי</w:t>
      </w:r>
      <w:r>
        <w:rPr>
          <w:rFonts w:hint="cs"/>
          <w:rtl/>
        </w:rPr>
        <w:t xml:space="preserve"> (ראו לעניין זה </w:t>
      </w:r>
      <w:proofErr w:type="spellStart"/>
      <w:r>
        <w:rPr>
          <w:rFonts w:hint="cs"/>
          <w:rtl/>
        </w:rPr>
        <w:t>בש"פ</w:t>
      </w:r>
      <w:proofErr w:type="spellEnd"/>
      <w:r>
        <w:rPr>
          <w:rFonts w:hint="cs"/>
          <w:rtl/>
        </w:rPr>
        <w:t xml:space="preserve"> 8823/07 </w:t>
      </w:r>
      <w:r w:rsidRPr="0012132E">
        <w:rPr>
          <w:rFonts w:cs="Miriam" w:hint="cs"/>
          <w:b/>
          <w:spacing w:val="0"/>
          <w:szCs w:val="24"/>
          <w:rtl/>
        </w:rPr>
        <w:t>פלוני נ' מדינת ישראל</w:t>
      </w:r>
      <w:r>
        <w:rPr>
          <w:rFonts w:hint="cs"/>
          <w:rtl/>
        </w:rPr>
        <w:t xml:space="preserve">, בפסקה 30 לפסק דינו של המשנה לנשיאה </w:t>
      </w:r>
      <w:r w:rsidRPr="00A72388">
        <w:rPr>
          <w:rFonts w:cs="Miriam" w:hint="cs"/>
          <w:b/>
          <w:spacing w:val="0"/>
          <w:szCs w:val="24"/>
          <w:rtl/>
        </w:rPr>
        <w:t>א' ריבלין</w:t>
      </w:r>
      <w:r w:rsidRPr="00A72388">
        <w:rPr>
          <w:rFonts w:hint="cs"/>
          <w:rtl/>
        </w:rPr>
        <w:t xml:space="preserve"> </w:t>
      </w:r>
      <w:r>
        <w:rPr>
          <w:rFonts w:hint="cs"/>
          <w:rtl/>
        </w:rPr>
        <w:t xml:space="preserve">(11.2.2010); לניתוח ביקורתי של פסק הדין והדוקטרינה ראו זמר </w:t>
      </w:r>
      <w:proofErr w:type="spellStart"/>
      <w:r>
        <w:rPr>
          <w:rFonts w:hint="cs"/>
          <w:rtl/>
        </w:rPr>
        <w:t>בלונדהיים</w:t>
      </w:r>
      <w:proofErr w:type="spellEnd"/>
      <w:r>
        <w:rPr>
          <w:rFonts w:hint="cs"/>
          <w:rtl/>
        </w:rPr>
        <w:t xml:space="preserve"> ונדיב מרדכי "לקראת דוקטרינת אפקט מצטבר: </w:t>
      </w:r>
      <w:proofErr w:type="spellStart"/>
      <w:r>
        <w:rPr>
          <w:rFonts w:hint="cs"/>
          <w:rtl/>
        </w:rPr>
        <w:t>אגרגציה</w:t>
      </w:r>
      <w:proofErr w:type="spellEnd"/>
      <w:r>
        <w:rPr>
          <w:rFonts w:hint="cs"/>
          <w:rtl/>
        </w:rPr>
        <w:t xml:space="preserve"> בביקורת שיפוטית חוקתית" </w:t>
      </w:r>
      <w:r w:rsidRPr="0012132E">
        <w:rPr>
          <w:rFonts w:cs="Miriam" w:hint="cs"/>
          <w:b/>
          <w:spacing w:val="0"/>
          <w:szCs w:val="24"/>
          <w:rtl/>
        </w:rPr>
        <w:t>משפטים</w:t>
      </w:r>
      <w:r>
        <w:rPr>
          <w:rFonts w:hint="cs"/>
          <w:rtl/>
        </w:rPr>
        <w:t xml:space="preserve"> מד 569, 578-571; להלן: </w:t>
      </w:r>
      <w:proofErr w:type="spellStart"/>
      <w:r w:rsidRPr="00565253">
        <w:rPr>
          <w:rFonts w:cs="Miriam" w:hint="cs"/>
          <w:b/>
          <w:spacing w:val="0"/>
          <w:szCs w:val="24"/>
          <w:rtl/>
        </w:rPr>
        <w:t>בלונדהיים</w:t>
      </w:r>
      <w:proofErr w:type="spellEnd"/>
      <w:r w:rsidRPr="00565253">
        <w:rPr>
          <w:rFonts w:cs="Miriam" w:hint="cs"/>
          <w:b/>
          <w:spacing w:val="0"/>
          <w:szCs w:val="24"/>
          <w:rtl/>
        </w:rPr>
        <w:t xml:space="preserve"> ומרדכי</w:t>
      </w:r>
      <w:r>
        <w:rPr>
          <w:rFonts w:hint="cs"/>
          <w:rtl/>
        </w:rPr>
        <w:t>)</w:t>
      </w:r>
      <w:r w:rsidRPr="00ED4703">
        <w:rPr>
          <w:rtl/>
        </w:rPr>
        <w:t xml:space="preserve">; </w:t>
      </w:r>
      <w:r w:rsidRPr="00ED4703">
        <w:rPr>
          <w:rFonts w:hint="eastAsia"/>
          <w:rtl/>
        </w:rPr>
        <w:t>מתן</w:t>
      </w:r>
      <w:r w:rsidRPr="00ED4703">
        <w:rPr>
          <w:rtl/>
        </w:rPr>
        <w:t xml:space="preserve"> </w:t>
      </w:r>
      <w:r w:rsidRPr="00ED4703">
        <w:rPr>
          <w:rFonts w:hint="eastAsia"/>
          <w:rtl/>
        </w:rPr>
        <w:t>משקל</w:t>
      </w:r>
      <w:r w:rsidRPr="00ED4703">
        <w:rPr>
          <w:rtl/>
        </w:rPr>
        <w:t xml:space="preserve"> </w:t>
      </w:r>
      <w:r w:rsidRPr="00ED4703">
        <w:rPr>
          <w:rFonts w:hint="eastAsia"/>
          <w:rtl/>
        </w:rPr>
        <w:t>לאפקט</w:t>
      </w:r>
      <w:r w:rsidRPr="00ED4703">
        <w:rPr>
          <w:rtl/>
        </w:rPr>
        <w:t xml:space="preserve"> </w:t>
      </w:r>
      <w:r w:rsidRPr="00ED4703">
        <w:rPr>
          <w:rFonts w:hint="eastAsia"/>
          <w:rtl/>
        </w:rPr>
        <w:t>מצטבר</w:t>
      </w:r>
      <w:r w:rsidRPr="00ED4703">
        <w:rPr>
          <w:rtl/>
        </w:rPr>
        <w:t xml:space="preserve"> </w:t>
      </w:r>
      <w:r w:rsidRPr="00ED4703">
        <w:rPr>
          <w:rFonts w:hint="eastAsia"/>
          <w:rtl/>
        </w:rPr>
        <w:t>של</w:t>
      </w:r>
      <w:r w:rsidRPr="00ED4703">
        <w:rPr>
          <w:rtl/>
        </w:rPr>
        <w:t xml:space="preserve"> </w:t>
      </w:r>
      <w:r w:rsidRPr="00ED4703">
        <w:rPr>
          <w:rFonts w:hint="eastAsia"/>
          <w:rtl/>
        </w:rPr>
        <w:t>פגמים</w:t>
      </w:r>
      <w:r w:rsidRPr="00ED4703">
        <w:rPr>
          <w:rtl/>
        </w:rPr>
        <w:t xml:space="preserve"> </w:t>
      </w:r>
      <w:r w:rsidRPr="00ED4703">
        <w:rPr>
          <w:rFonts w:hint="eastAsia"/>
          <w:rtl/>
        </w:rPr>
        <w:t>בתחומי</w:t>
      </w:r>
      <w:r w:rsidRPr="00ED4703">
        <w:rPr>
          <w:rtl/>
        </w:rPr>
        <w:t xml:space="preserve"> </w:t>
      </w:r>
      <w:r w:rsidRPr="00ED4703">
        <w:rPr>
          <w:rFonts w:hint="eastAsia"/>
          <w:rtl/>
        </w:rPr>
        <w:t>המשפט</w:t>
      </w:r>
      <w:r w:rsidRPr="00ED4703">
        <w:rPr>
          <w:rtl/>
        </w:rPr>
        <w:t xml:space="preserve"> </w:t>
      </w:r>
      <w:proofErr w:type="spellStart"/>
      <w:r w:rsidRPr="00ED4703">
        <w:rPr>
          <w:rFonts w:hint="eastAsia"/>
          <w:rtl/>
        </w:rPr>
        <w:t>המינהלי</w:t>
      </w:r>
      <w:proofErr w:type="spellEnd"/>
      <w:r w:rsidRPr="00ED4703">
        <w:rPr>
          <w:rtl/>
        </w:rPr>
        <w:t xml:space="preserve"> </w:t>
      </w:r>
      <w:r w:rsidRPr="00ED4703">
        <w:rPr>
          <w:rFonts w:hint="eastAsia"/>
          <w:rtl/>
        </w:rPr>
        <w:t>השונים</w:t>
      </w:r>
      <w:r w:rsidRPr="00ED4703">
        <w:rPr>
          <w:rtl/>
        </w:rPr>
        <w:t xml:space="preserve">, </w:t>
      </w:r>
      <w:r w:rsidRPr="00ED4703">
        <w:rPr>
          <w:rFonts w:hint="eastAsia"/>
          <w:rtl/>
        </w:rPr>
        <w:t>המביא</w:t>
      </w:r>
      <w:r w:rsidRPr="00ED4703">
        <w:rPr>
          <w:rtl/>
        </w:rPr>
        <w:t xml:space="preserve"> </w:t>
      </w:r>
      <w:r w:rsidRPr="00ED4703">
        <w:rPr>
          <w:rFonts w:hint="eastAsia"/>
          <w:rtl/>
        </w:rPr>
        <w:t>לפסילת</w:t>
      </w:r>
      <w:r w:rsidRPr="00ED4703">
        <w:rPr>
          <w:rtl/>
        </w:rPr>
        <w:t xml:space="preserve"> </w:t>
      </w:r>
      <w:r w:rsidRPr="00ED4703">
        <w:rPr>
          <w:rFonts w:hint="eastAsia"/>
          <w:rtl/>
        </w:rPr>
        <w:t>המעשה</w:t>
      </w:r>
      <w:r w:rsidRPr="00ED4703">
        <w:rPr>
          <w:rtl/>
        </w:rPr>
        <w:t xml:space="preserve"> </w:t>
      </w:r>
      <w:r w:rsidRPr="00ED4703">
        <w:rPr>
          <w:rFonts w:hint="eastAsia"/>
          <w:rtl/>
        </w:rPr>
        <w:t>או</w:t>
      </w:r>
      <w:r w:rsidRPr="00ED4703">
        <w:rPr>
          <w:rtl/>
        </w:rPr>
        <w:t xml:space="preserve"> </w:t>
      </w:r>
      <w:r w:rsidRPr="00ED4703">
        <w:rPr>
          <w:rFonts w:hint="eastAsia"/>
          <w:rtl/>
        </w:rPr>
        <w:t>ההחלטה</w:t>
      </w:r>
      <w:r w:rsidRPr="00ED4703">
        <w:rPr>
          <w:rtl/>
        </w:rPr>
        <w:t xml:space="preserve"> </w:t>
      </w:r>
      <w:proofErr w:type="spellStart"/>
      <w:r w:rsidRPr="00ED4703">
        <w:rPr>
          <w:rFonts w:hint="eastAsia"/>
          <w:rtl/>
        </w:rPr>
        <w:t>המינהליים</w:t>
      </w:r>
      <w:proofErr w:type="spellEnd"/>
      <w:r w:rsidRPr="00ED4703">
        <w:rPr>
          <w:rtl/>
        </w:rPr>
        <w:t xml:space="preserve">; </w:t>
      </w:r>
      <w:r>
        <w:rPr>
          <w:rFonts w:hint="eastAsia"/>
          <w:rtl/>
        </w:rPr>
        <w:t>וכ</w:t>
      </w:r>
      <w:r>
        <w:rPr>
          <w:rFonts w:hint="cs"/>
          <w:rtl/>
        </w:rPr>
        <w:t>ן</w:t>
      </w:r>
      <w:r w:rsidRPr="00ED4703">
        <w:rPr>
          <w:rtl/>
        </w:rPr>
        <w:t xml:space="preserve"> </w:t>
      </w:r>
      <w:r w:rsidRPr="00ED4703">
        <w:rPr>
          <w:rFonts w:hint="eastAsia"/>
          <w:rtl/>
        </w:rPr>
        <w:t>צירוף</w:t>
      </w:r>
      <w:r w:rsidRPr="00ED4703">
        <w:rPr>
          <w:rtl/>
        </w:rPr>
        <w:t xml:space="preserve"> </w:t>
      </w:r>
      <w:r w:rsidRPr="00ED4703">
        <w:rPr>
          <w:rFonts w:hint="eastAsia"/>
          <w:rtl/>
        </w:rPr>
        <w:t>מספר</w:t>
      </w:r>
      <w:r w:rsidRPr="00ED4703">
        <w:rPr>
          <w:rtl/>
        </w:rPr>
        <w:t xml:space="preserve"> </w:t>
      </w:r>
      <w:r w:rsidRPr="00ED4703">
        <w:rPr>
          <w:rFonts w:hint="eastAsia"/>
          <w:rtl/>
        </w:rPr>
        <w:t>רכיבים</w:t>
      </w:r>
      <w:r w:rsidRPr="00ED4703">
        <w:rPr>
          <w:rtl/>
        </w:rPr>
        <w:t xml:space="preserve"> </w:t>
      </w:r>
      <w:r w:rsidRPr="00ED4703">
        <w:rPr>
          <w:rFonts w:hint="eastAsia"/>
          <w:rtl/>
        </w:rPr>
        <w:t>לכדי</w:t>
      </w:r>
      <w:r w:rsidRPr="00ED4703">
        <w:rPr>
          <w:rtl/>
        </w:rPr>
        <w:t xml:space="preserve"> </w:t>
      </w:r>
      <w:r w:rsidRPr="00ED4703">
        <w:rPr>
          <w:rFonts w:hint="eastAsia"/>
          <w:rtl/>
        </w:rPr>
        <w:t>עילת</w:t>
      </w:r>
      <w:r w:rsidRPr="00ED4703">
        <w:rPr>
          <w:rtl/>
        </w:rPr>
        <w:t xml:space="preserve"> </w:t>
      </w:r>
      <w:r w:rsidRPr="00ED4703">
        <w:rPr>
          <w:rFonts w:hint="eastAsia"/>
          <w:rtl/>
        </w:rPr>
        <w:t>הפרת</w:t>
      </w:r>
      <w:r w:rsidRPr="00ED4703">
        <w:rPr>
          <w:rtl/>
        </w:rPr>
        <w:t xml:space="preserve"> </w:t>
      </w:r>
      <w:r w:rsidRPr="00ED4703">
        <w:rPr>
          <w:rFonts w:hint="eastAsia"/>
          <w:rtl/>
        </w:rPr>
        <w:t>חוזה</w:t>
      </w:r>
      <w:r w:rsidRPr="00ED4703">
        <w:rPr>
          <w:rtl/>
        </w:rPr>
        <w:t xml:space="preserve"> </w:t>
      </w:r>
      <w:r w:rsidRPr="00ED4703">
        <w:rPr>
          <w:rFonts w:hint="eastAsia"/>
          <w:rtl/>
        </w:rPr>
        <w:t>אחת</w:t>
      </w:r>
      <w:r w:rsidRPr="00ED4703">
        <w:rPr>
          <w:rtl/>
        </w:rPr>
        <w:t xml:space="preserve">, </w:t>
      </w:r>
      <w:r w:rsidRPr="00ED4703">
        <w:rPr>
          <w:rFonts w:hint="eastAsia"/>
          <w:rtl/>
        </w:rPr>
        <w:t>שיש</w:t>
      </w:r>
      <w:r w:rsidRPr="00ED4703">
        <w:rPr>
          <w:rtl/>
        </w:rPr>
        <w:t xml:space="preserve"> </w:t>
      </w:r>
      <w:r w:rsidRPr="00ED4703">
        <w:rPr>
          <w:rFonts w:hint="eastAsia"/>
          <w:rtl/>
        </w:rPr>
        <w:t>בה</w:t>
      </w:r>
      <w:r w:rsidRPr="00ED4703">
        <w:rPr>
          <w:rtl/>
        </w:rPr>
        <w:t xml:space="preserve"> </w:t>
      </w:r>
      <w:r w:rsidRPr="00ED4703">
        <w:rPr>
          <w:rFonts w:hint="eastAsia"/>
          <w:rtl/>
        </w:rPr>
        <w:t>כדי</w:t>
      </w:r>
      <w:r w:rsidRPr="00ED4703">
        <w:rPr>
          <w:rtl/>
        </w:rPr>
        <w:t xml:space="preserve"> </w:t>
      </w:r>
      <w:r w:rsidRPr="00ED4703">
        <w:rPr>
          <w:rFonts w:hint="eastAsia"/>
          <w:rtl/>
        </w:rPr>
        <w:t>להביא</w:t>
      </w:r>
      <w:r w:rsidRPr="00ED4703">
        <w:rPr>
          <w:rtl/>
        </w:rPr>
        <w:t xml:space="preserve"> </w:t>
      </w:r>
      <w:r w:rsidRPr="00ED4703">
        <w:rPr>
          <w:rFonts w:hint="eastAsia"/>
          <w:rtl/>
        </w:rPr>
        <w:t>לביטול</w:t>
      </w:r>
      <w:r w:rsidRPr="00ED4703">
        <w:rPr>
          <w:rtl/>
        </w:rPr>
        <w:t xml:space="preserve"> </w:t>
      </w:r>
      <w:r w:rsidRPr="00ED4703">
        <w:rPr>
          <w:rFonts w:hint="eastAsia"/>
          <w:rtl/>
        </w:rPr>
        <w:t>החוזה</w:t>
      </w:r>
      <w:r>
        <w:rPr>
          <w:rFonts w:hint="cs"/>
          <w:rtl/>
        </w:rPr>
        <w:t xml:space="preserve"> (לעניין זה ראו ע"א 262/86 </w:t>
      </w:r>
      <w:r w:rsidRPr="0012132E">
        <w:rPr>
          <w:rFonts w:cs="Miriam" w:hint="cs"/>
          <w:b/>
          <w:spacing w:val="0"/>
          <w:szCs w:val="24"/>
          <w:rtl/>
        </w:rPr>
        <w:t>רוט נ'</w:t>
      </w:r>
      <w:r w:rsidRPr="0012132E">
        <w:rPr>
          <w:rFonts w:hint="cs"/>
          <w:rtl/>
        </w:rPr>
        <w:t xml:space="preserve"> </w:t>
      </w:r>
      <w:proofErr w:type="spellStart"/>
      <w:r w:rsidRPr="0012132E">
        <w:rPr>
          <w:sz w:val="26"/>
          <w:szCs w:val="26"/>
        </w:rPr>
        <w:t>Deak</w:t>
      </w:r>
      <w:proofErr w:type="spellEnd"/>
      <w:r w:rsidRPr="0012132E">
        <w:rPr>
          <w:sz w:val="26"/>
          <w:szCs w:val="26"/>
        </w:rPr>
        <w:t xml:space="preserve"> and </w:t>
      </w:r>
      <w:proofErr w:type="spellStart"/>
      <w:r w:rsidRPr="0012132E">
        <w:rPr>
          <w:sz w:val="26"/>
          <w:szCs w:val="26"/>
        </w:rPr>
        <w:t>Co.Inc</w:t>
      </w:r>
      <w:proofErr w:type="spellEnd"/>
      <w:r>
        <w:t xml:space="preserve"> </w:t>
      </w:r>
      <w:r>
        <w:rPr>
          <w:rFonts w:hint="cs"/>
          <w:rtl/>
        </w:rPr>
        <w:t xml:space="preserve"> פ"ד מה(2) 353, 371 (1991); ראו גם </w:t>
      </w:r>
      <w:proofErr w:type="spellStart"/>
      <w:r w:rsidRPr="00565253">
        <w:rPr>
          <w:rFonts w:cs="Miriam" w:hint="cs"/>
          <w:b/>
          <w:spacing w:val="0"/>
          <w:szCs w:val="24"/>
          <w:rtl/>
        </w:rPr>
        <w:t>בלונדהיים</w:t>
      </w:r>
      <w:proofErr w:type="spellEnd"/>
      <w:r w:rsidRPr="00565253">
        <w:rPr>
          <w:rFonts w:cs="Miriam" w:hint="cs"/>
          <w:b/>
          <w:spacing w:val="0"/>
          <w:szCs w:val="24"/>
          <w:rtl/>
        </w:rPr>
        <w:t xml:space="preserve"> ומרדכי</w:t>
      </w:r>
      <w:r>
        <w:rPr>
          <w:rFonts w:hint="cs"/>
          <w:rtl/>
        </w:rPr>
        <w:t>, בעמ' 590)</w:t>
      </w:r>
      <w:r w:rsidRPr="00ED4703">
        <w:rPr>
          <w:rtl/>
        </w:rPr>
        <w:t>.</w:t>
      </w:r>
    </w:p>
    <w:p w:rsidR="000F3C05" w:rsidRPr="00B04A6B" w:rsidRDefault="000F3C05" w:rsidP="00E83BBD">
      <w:pPr>
        <w:pStyle w:val="af6"/>
        <w:rPr>
          <w:rtl/>
        </w:rPr>
      </w:pPr>
      <w:r>
        <w:rPr>
          <w:rFonts w:hint="cs"/>
          <w:rtl/>
        </w:rPr>
        <w:t>אולם, על אף הגיונה הרב של דוקטרינת הצבירה או "</w:t>
      </w:r>
      <w:proofErr w:type="spellStart"/>
      <w:r>
        <w:rPr>
          <w:rFonts w:hint="cs"/>
          <w:rtl/>
        </w:rPr>
        <w:t>האגרגציה</w:t>
      </w:r>
      <w:proofErr w:type="spellEnd"/>
      <w:r>
        <w:rPr>
          <w:rFonts w:hint="cs"/>
          <w:rtl/>
        </w:rPr>
        <w:t>" בתחומי משפט אחרים, יש לטעמי קושי ממשי להסיק מכך מסקנות באשר ליישום הדוקטרינה בדין הפלילי, ובפרט באשר ליצירת אחריות פלילית יש מאין, שהשלכותיה על נאשם העומד לדין הן הרות גורל</w:t>
      </w:r>
      <w:r w:rsidR="00BE089C">
        <w:rPr>
          <w:rFonts w:hint="cs"/>
          <w:rtl/>
        </w:rPr>
        <w:t>.</w:t>
      </w:r>
      <w:r>
        <w:rPr>
          <w:rFonts w:hint="cs"/>
          <w:rtl/>
        </w:rPr>
        <w:t xml:space="preserve"> </w:t>
      </w:r>
    </w:p>
    <w:p w:rsidR="000F3C05" w:rsidRDefault="000F3C05" w:rsidP="000F3C05">
      <w:pPr>
        <w:pStyle w:val="a"/>
        <w:rPr>
          <w:rtl/>
        </w:rPr>
      </w:pPr>
      <w:r>
        <w:rPr>
          <w:rFonts w:hint="cs"/>
          <w:rtl/>
        </w:rPr>
        <w:t xml:space="preserve">לסיכום נקודה זו, הדוקטרינה שעליה ביקשה המשיבה לבסס את הרשעת המבקש, אשר זכתה לכינוי "תזת הצבירה", היא דוקטרינה חדשה שאין לה אחיזה בהלכה הפסוקה, לפחות בכל הנוגע לקביעת אחריות פלילית. אין בפסיקה אליה הפנתה המשיבה כדי לתמוך בטענתה, שכן בכל אותם מקרים מכלול הפעולות והמעשים שביצעו </w:t>
      </w:r>
      <w:r>
        <w:rPr>
          <w:rFonts w:hint="cs"/>
          <w:rtl/>
        </w:rPr>
        <w:lastRenderedPageBreak/>
        <w:t>הנאשמים, אשר בגינם הורשעו בעבירה אחת של מרמה והפרת אמונים, היו חלקיו השונים של אותו שלם, כך שכולם נועדו להשיג את אותה מטרה פסולה. במובן זה, תמים דעות אני עם בית משפט השלום, אשר קבע כי "לא ניתן לגזור גזירה שווה בין 'צבירת פעולות' באותה פרשייה ממש, מול אותו גורם ושעה שמדובר באותו ניגוד עניינים, לבין צבירת פעולות שבוצעו בפער של שנים אחת מהשנייה, בנסיבות משתנות, מול גורמים משתנים, ובעוצמות שאינן 'פליליות'" (עמ' 143 להכרעת דינו של בית משפט השלום).</w:t>
      </w:r>
    </w:p>
    <w:p w:rsidR="000F3C05" w:rsidRDefault="000F3C05" w:rsidP="000F3C05">
      <w:pPr>
        <w:pStyle w:val="a"/>
        <w:rPr>
          <w:rtl/>
        </w:rPr>
      </w:pPr>
      <w:r>
        <w:rPr>
          <w:rFonts w:hint="cs"/>
          <w:rtl/>
        </w:rPr>
        <w:t>אכן, לא בכדי לא קנתה לה תזת הצבירה אחיזה בדין הפלילי. יישום התזה על נסיבות המקרה שלפנינו, כך שניגודי העניינים בהם היה נתון המבקש יצטברו לכדי עבירה פלילית אחת של מרמה והפרת אמונים, מעורר קשיים לא מבוטלים.</w:t>
      </w:r>
    </w:p>
    <w:p w:rsidR="000F3C05" w:rsidRDefault="000F3C05" w:rsidP="008E555F">
      <w:pPr>
        <w:pStyle w:val="af6"/>
        <w:rPr>
          <w:rtl/>
        </w:rPr>
      </w:pPr>
      <w:r>
        <w:rPr>
          <w:rtl/>
        </w:rPr>
        <w:tab/>
      </w:r>
      <w:r>
        <w:rPr>
          <w:rFonts w:hint="cs"/>
          <w:rtl/>
        </w:rPr>
        <w:t>הקושי העיקרי טמון בכך שאימוצה של תזה זו עומד בסתירה חזיתית ל</w:t>
      </w:r>
      <w:r w:rsidRPr="00ED64F7">
        <w:rPr>
          <w:rFonts w:ascii="Century" w:hAnsi="Century" w:cs="Miriam" w:hint="cs"/>
          <w:b/>
          <w:spacing w:val="0"/>
          <w:szCs w:val="24"/>
          <w:rtl/>
        </w:rPr>
        <w:t>עקרון החוקיות</w:t>
      </w:r>
      <w:r>
        <w:rPr>
          <w:rFonts w:hint="cs"/>
          <w:rtl/>
        </w:rPr>
        <w:t xml:space="preserve">, שהוא מעמודי התווך של הדין הפלילי. עקרון זה מצייר קו גבול ברור המפריד בין התנהגות אסורה לפי חוק, להתנהגות מותרת, שהנוהג בה אינו מתחייב בפלילים (ראו: </w:t>
      </w:r>
      <w:proofErr w:type="spellStart"/>
      <w:r>
        <w:rPr>
          <w:rFonts w:hint="cs"/>
          <w:rtl/>
        </w:rPr>
        <w:t>דנ"פ</w:t>
      </w:r>
      <w:proofErr w:type="spellEnd"/>
      <w:r>
        <w:rPr>
          <w:rFonts w:hint="cs"/>
          <w:rtl/>
        </w:rPr>
        <w:t xml:space="preserve"> 10987/07 </w:t>
      </w:r>
      <w:r w:rsidRPr="00ED64F7">
        <w:rPr>
          <w:rFonts w:ascii="Century" w:hAnsi="Century" w:cs="Miriam" w:hint="cs"/>
          <w:b/>
          <w:spacing w:val="0"/>
          <w:szCs w:val="24"/>
          <w:rtl/>
        </w:rPr>
        <w:t>מדינת ישראל נ' כהן</w:t>
      </w:r>
      <w:r>
        <w:rPr>
          <w:rFonts w:hint="cs"/>
          <w:rtl/>
        </w:rPr>
        <w:t xml:space="preserve">, פ"ד </w:t>
      </w:r>
      <w:proofErr w:type="spellStart"/>
      <w:r>
        <w:rPr>
          <w:rFonts w:hint="cs"/>
          <w:rtl/>
        </w:rPr>
        <w:t>סג</w:t>
      </w:r>
      <w:proofErr w:type="spellEnd"/>
      <w:r>
        <w:rPr>
          <w:rFonts w:hint="cs"/>
          <w:rtl/>
        </w:rPr>
        <w:t xml:space="preserve">(1) </w:t>
      </w:r>
      <w:r w:rsidRPr="0044538B">
        <w:rPr>
          <w:rFonts w:hint="cs"/>
          <w:rtl/>
        </w:rPr>
        <w:t>644, 67</w:t>
      </w:r>
      <w:r>
        <w:rPr>
          <w:rFonts w:hint="cs"/>
          <w:rtl/>
        </w:rPr>
        <w:t xml:space="preserve">3 (2009)). עד כדי כך מגעת חשיבותו של עקרון זה, שהמחוקק ראה לנכון לעגנו בפתחו של חוק העונשין, אשר מורה, בסעיף 1, כי: </w:t>
      </w:r>
    </w:p>
    <w:p w:rsidR="000F3C05" w:rsidRDefault="000F3C05" w:rsidP="000F3C05">
      <w:pPr>
        <w:pStyle w:val="af2"/>
        <w:rPr>
          <w:rtl/>
        </w:rPr>
      </w:pPr>
      <w:r>
        <w:rPr>
          <w:rFonts w:hint="cs"/>
          <w:rtl/>
        </w:rPr>
        <w:t>"</w:t>
      </w:r>
      <w:r>
        <w:rPr>
          <w:rFonts w:hint="eastAsia"/>
          <w:rtl/>
        </w:rPr>
        <w:t>אין</w:t>
      </w:r>
      <w:r>
        <w:rPr>
          <w:rtl/>
        </w:rPr>
        <w:t xml:space="preserve"> </w:t>
      </w:r>
      <w:r>
        <w:rPr>
          <w:rFonts w:hint="eastAsia"/>
          <w:rtl/>
        </w:rPr>
        <w:t>עבירה</w:t>
      </w:r>
      <w:r>
        <w:rPr>
          <w:rtl/>
        </w:rPr>
        <w:t xml:space="preserve"> </w:t>
      </w:r>
      <w:r>
        <w:rPr>
          <w:rFonts w:hint="eastAsia"/>
          <w:rtl/>
        </w:rPr>
        <w:t>ואין</w:t>
      </w:r>
      <w:r>
        <w:rPr>
          <w:rtl/>
        </w:rPr>
        <w:t xml:space="preserve"> </w:t>
      </w:r>
      <w:r>
        <w:rPr>
          <w:rFonts w:hint="eastAsia"/>
          <w:rtl/>
        </w:rPr>
        <w:t>עונש</w:t>
      </w:r>
      <w:r>
        <w:rPr>
          <w:rtl/>
        </w:rPr>
        <w:t xml:space="preserve"> </w:t>
      </w:r>
      <w:r>
        <w:rPr>
          <w:rFonts w:hint="eastAsia"/>
          <w:rtl/>
        </w:rPr>
        <w:t>עליה</w:t>
      </w:r>
      <w:r>
        <w:rPr>
          <w:rtl/>
        </w:rPr>
        <w:t xml:space="preserve"> </w:t>
      </w:r>
      <w:r>
        <w:rPr>
          <w:rFonts w:hint="eastAsia"/>
          <w:rtl/>
        </w:rPr>
        <w:t>אלא</w:t>
      </w:r>
      <w:r>
        <w:rPr>
          <w:rtl/>
        </w:rPr>
        <w:t xml:space="preserve"> </w:t>
      </w:r>
      <w:r>
        <w:rPr>
          <w:rFonts w:hint="eastAsia"/>
          <w:rtl/>
        </w:rPr>
        <w:t>אם</w:t>
      </w:r>
      <w:r>
        <w:rPr>
          <w:rtl/>
        </w:rPr>
        <w:t xml:space="preserve"> </w:t>
      </w:r>
      <w:r>
        <w:rPr>
          <w:rFonts w:hint="eastAsia"/>
          <w:rtl/>
        </w:rPr>
        <w:t>כן</w:t>
      </w:r>
      <w:r>
        <w:rPr>
          <w:rtl/>
        </w:rPr>
        <w:t xml:space="preserve"> </w:t>
      </w:r>
      <w:r>
        <w:rPr>
          <w:rFonts w:hint="eastAsia"/>
          <w:rtl/>
        </w:rPr>
        <w:t>נקבעו</w:t>
      </w:r>
      <w:r>
        <w:rPr>
          <w:rtl/>
        </w:rPr>
        <w:t xml:space="preserve"> </w:t>
      </w:r>
      <w:r>
        <w:rPr>
          <w:rFonts w:hint="eastAsia"/>
          <w:rtl/>
        </w:rPr>
        <w:t>בחוק</w:t>
      </w:r>
      <w:r>
        <w:rPr>
          <w:rtl/>
        </w:rPr>
        <w:t xml:space="preserve"> </w:t>
      </w:r>
      <w:r>
        <w:rPr>
          <w:rFonts w:hint="eastAsia"/>
          <w:rtl/>
        </w:rPr>
        <w:t>או</w:t>
      </w:r>
      <w:r>
        <w:rPr>
          <w:rtl/>
        </w:rPr>
        <w:t xml:space="preserve"> </w:t>
      </w:r>
      <w:r>
        <w:rPr>
          <w:rFonts w:hint="eastAsia"/>
          <w:rtl/>
        </w:rPr>
        <w:t>על</w:t>
      </w:r>
      <w:r>
        <w:rPr>
          <w:rtl/>
        </w:rPr>
        <w:t>-</w:t>
      </w:r>
      <w:r>
        <w:rPr>
          <w:rFonts w:hint="eastAsia"/>
          <w:rtl/>
        </w:rPr>
        <w:t>פיו</w:t>
      </w:r>
      <w:r>
        <w:rPr>
          <w:rFonts w:hint="cs"/>
          <w:rtl/>
        </w:rPr>
        <w:t>".</w:t>
      </w:r>
    </w:p>
    <w:p w:rsidR="000F3C05" w:rsidRDefault="000F3C05" w:rsidP="000F3C05">
      <w:pPr>
        <w:pStyle w:val="af6"/>
        <w:rPr>
          <w:rtl/>
        </w:rPr>
      </w:pPr>
      <w:r>
        <w:rPr>
          <w:rtl/>
        </w:rPr>
        <w:tab/>
      </w:r>
      <w:r>
        <w:rPr>
          <w:rFonts w:hint="cs"/>
          <w:rtl/>
        </w:rPr>
        <w:t xml:space="preserve">עקרון החוקיות הוכר כמובן בספרות ובפסיקה גם קודם לחקיקתו של סעיף זה במסגרת תיקון 39 לחוק העונשין, בשנת 1994. כך למשל הבהיר השופט </w:t>
      </w:r>
      <w:r w:rsidRPr="00582117">
        <w:rPr>
          <w:rFonts w:ascii="Century" w:hAnsi="Century" w:cs="Miriam" w:hint="cs"/>
          <w:b/>
          <w:spacing w:val="0"/>
          <w:szCs w:val="24"/>
          <w:rtl/>
        </w:rPr>
        <w:t>ח' כהן</w:t>
      </w:r>
      <w:r w:rsidRPr="00582117">
        <w:rPr>
          <w:rFonts w:hint="cs"/>
          <w:rtl/>
        </w:rPr>
        <w:t xml:space="preserve"> </w:t>
      </w:r>
      <w:r>
        <w:rPr>
          <w:rFonts w:hint="cs"/>
          <w:rtl/>
        </w:rPr>
        <w:t>ב</w:t>
      </w:r>
      <w:r w:rsidRPr="00ED64F7">
        <w:rPr>
          <w:rFonts w:hint="eastAsia"/>
          <w:rtl/>
        </w:rPr>
        <w:t>ע</w:t>
      </w:r>
      <w:r w:rsidRPr="00ED64F7">
        <w:rPr>
          <w:rtl/>
        </w:rPr>
        <w:t>"</w:t>
      </w:r>
      <w:r w:rsidRPr="00ED64F7">
        <w:rPr>
          <w:rFonts w:hint="eastAsia"/>
          <w:rtl/>
        </w:rPr>
        <w:t>פ</w:t>
      </w:r>
      <w:r w:rsidRPr="00ED64F7">
        <w:rPr>
          <w:rtl/>
        </w:rPr>
        <w:t xml:space="preserve"> 205/73 </w:t>
      </w:r>
      <w:r w:rsidRPr="00ED64F7">
        <w:rPr>
          <w:rFonts w:ascii="Century" w:hAnsi="Century" w:cs="Miriam" w:hint="eastAsia"/>
          <w:b/>
          <w:spacing w:val="0"/>
          <w:szCs w:val="24"/>
          <w:rtl/>
        </w:rPr>
        <w:t>רוס</w:t>
      </w:r>
      <w:r w:rsidRPr="00ED64F7">
        <w:rPr>
          <w:rFonts w:ascii="Century" w:hAnsi="Century" w:cs="Miriam"/>
          <w:b/>
          <w:spacing w:val="0"/>
          <w:szCs w:val="24"/>
          <w:rtl/>
        </w:rPr>
        <w:t xml:space="preserve"> </w:t>
      </w:r>
      <w:r w:rsidRPr="00ED64F7">
        <w:rPr>
          <w:rFonts w:ascii="Century" w:hAnsi="Century" w:cs="Miriam" w:hint="eastAsia"/>
          <w:b/>
          <w:spacing w:val="0"/>
          <w:szCs w:val="24"/>
          <w:rtl/>
        </w:rPr>
        <w:t>נ</w:t>
      </w:r>
      <w:r w:rsidRPr="00ED64F7">
        <w:rPr>
          <w:rFonts w:ascii="Century" w:hAnsi="Century" w:cs="Miriam"/>
          <w:b/>
          <w:spacing w:val="0"/>
          <w:szCs w:val="24"/>
          <w:rtl/>
        </w:rPr>
        <w:t xml:space="preserve">' </w:t>
      </w:r>
      <w:r w:rsidRPr="00ED64F7">
        <w:rPr>
          <w:rFonts w:ascii="Century" w:hAnsi="Century" w:cs="Miriam" w:hint="eastAsia"/>
          <w:b/>
          <w:spacing w:val="0"/>
          <w:szCs w:val="24"/>
          <w:rtl/>
        </w:rPr>
        <w:t>מדינת</w:t>
      </w:r>
      <w:r w:rsidRPr="00ED64F7">
        <w:rPr>
          <w:rFonts w:ascii="Century" w:hAnsi="Century" w:cs="Miriam"/>
          <w:b/>
          <w:spacing w:val="0"/>
          <w:szCs w:val="24"/>
          <w:rtl/>
        </w:rPr>
        <w:t xml:space="preserve"> </w:t>
      </w:r>
      <w:r w:rsidRPr="00ED64F7">
        <w:rPr>
          <w:rFonts w:ascii="Century" w:hAnsi="Century" w:cs="Miriam" w:hint="eastAsia"/>
          <w:b/>
          <w:spacing w:val="0"/>
          <w:szCs w:val="24"/>
          <w:rtl/>
        </w:rPr>
        <w:t>ישראל</w:t>
      </w:r>
      <w:r w:rsidRPr="00ED64F7">
        <w:rPr>
          <w:rtl/>
        </w:rPr>
        <w:t xml:space="preserve">, </w:t>
      </w:r>
      <w:r w:rsidRPr="00ED64F7">
        <w:rPr>
          <w:rFonts w:hint="eastAsia"/>
          <w:rtl/>
        </w:rPr>
        <w:t>פ</w:t>
      </w:r>
      <w:r w:rsidRPr="00ED64F7">
        <w:rPr>
          <w:rtl/>
        </w:rPr>
        <w:t>"</w:t>
      </w:r>
      <w:r w:rsidRPr="00ED64F7">
        <w:rPr>
          <w:rFonts w:hint="eastAsia"/>
          <w:rtl/>
        </w:rPr>
        <w:t>ד</w:t>
      </w:r>
      <w:r w:rsidRPr="00ED64F7">
        <w:rPr>
          <w:rtl/>
        </w:rPr>
        <w:t xml:space="preserve"> </w:t>
      </w:r>
      <w:proofErr w:type="spellStart"/>
      <w:r w:rsidRPr="00ED64F7">
        <w:rPr>
          <w:rFonts w:hint="eastAsia"/>
          <w:rtl/>
        </w:rPr>
        <w:t>כז</w:t>
      </w:r>
      <w:proofErr w:type="spellEnd"/>
      <w:r>
        <w:rPr>
          <w:rtl/>
        </w:rPr>
        <w:t>(2) 365</w:t>
      </w:r>
      <w:r>
        <w:rPr>
          <w:rFonts w:hint="cs"/>
          <w:rtl/>
        </w:rPr>
        <w:t xml:space="preserve"> </w:t>
      </w:r>
      <w:r>
        <w:rPr>
          <w:rtl/>
        </w:rPr>
        <w:t>(1973)</w:t>
      </w:r>
      <w:r>
        <w:rPr>
          <w:rFonts w:hint="cs"/>
          <w:rtl/>
        </w:rPr>
        <w:t>, כי:</w:t>
      </w:r>
    </w:p>
    <w:p w:rsidR="000F3C05" w:rsidRDefault="000F3C05" w:rsidP="000F3C05">
      <w:pPr>
        <w:pStyle w:val="af2"/>
        <w:rPr>
          <w:rtl/>
        </w:rPr>
      </w:pPr>
      <w:r>
        <w:rPr>
          <w:rFonts w:hint="cs"/>
          <w:rtl/>
        </w:rPr>
        <w:t>"</w:t>
      </w:r>
      <w:r>
        <w:rPr>
          <w:rFonts w:hint="eastAsia"/>
          <w:rtl/>
        </w:rPr>
        <w:t>כלל</w:t>
      </w:r>
      <w:r>
        <w:rPr>
          <w:rtl/>
        </w:rPr>
        <w:t xml:space="preserve"> </w:t>
      </w:r>
      <w:r>
        <w:rPr>
          <w:rFonts w:hint="eastAsia"/>
          <w:rtl/>
        </w:rPr>
        <w:t>גדול</w:t>
      </w:r>
      <w:r>
        <w:rPr>
          <w:rtl/>
        </w:rPr>
        <w:t xml:space="preserve"> </w:t>
      </w:r>
      <w:r>
        <w:rPr>
          <w:rFonts w:hint="eastAsia"/>
          <w:rtl/>
        </w:rPr>
        <w:t>הוא</w:t>
      </w:r>
      <w:r>
        <w:rPr>
          <w:rtl/>
        </w:rPr>
        <w:t xml:space="preserve"> </w:t>
      </w:r>
      <w:r>
        <w:rPr>
          <w:rFonts w:hint="eastAsia"/>
          <w:rtl/>
        </w:rPr>
        <w:t>בדיני</w:t>
      </w:r>
      <w:r>
        <w:rPr>
          <w:rtl/>
        </w:rPr>
        <w:t xml:space="preserve"> </w:t>
      </w:r>
      <w:r>
        <w:rPr>
          <w:rFonts w:hint="eastAsia"/>
          <w:rtl/>
        </w:rPr>
        <w:t>העונשין</w:t>
      </w:r>
      <w:r>
        <w:rPr>
          <w:rtl/>
        </w:rPr>
        <w:t xml:space="preserve">: </w:t>
      </w:r>
      <w:r>
        <w:rPr>
          <w:rFonts w:hint="cs"/>
          <w:rtl/>
        </w:rPr>
        <w:t>'</w:t>
      </w:r>
      <w:r>
        <w:rPr>
          <w:rFonts w:hint="eastAsia"/>
          <w:rtl/>
        </w:rPr>
        <w:t>אין</w:t>
      </w:r>
      <w:r>
        <w:rPr>
          <w:rtl/>
        </w:rPr>
        <w:t xml:space="preserve"> </w:t>
      </w:r>
      <w:r>
        <w:rPr>
          <w:rFonts w:hint="eastAsia"/>
          <w:rtl/>
        </w:rPr>
        <w:t>עונשין</w:t>
      </w:r>
      <w:r>
        <w:rPr>
          <w:rtl/>
        </w:rPr>
        <w:t xml:space="preserve"> </w:t>
      </w:r>
      <w:r>
        <w:rPr>
          <w:rFonts w:hint="eastAsia"/>
          <w:rtl/>
        </w:rPr>
        <w:t>מן</w:t>
      </w:r>
      <w:r>
        <w:rPr>
          <w:rtl/>
        </w:rPr>
        <w:t xml:space="preserve"> </w:t>
      </w:r>
      <w:r>
        <w:rPr>
          <w:rFonts w:hint="eastAsia"/>
          <w:rtl/>
        </w:rPr>
        <w:t>הדין</w:t>
      </w:r>
      <w:r>
        <w:rPr>
          <w:rFonts w:hint="cs"/>
          <w:rtl/>
        </w:rPr>
        <w:t>'</w:t>
      </w:r>
      <w:r>
        <w:rPr>
          <w:rtl/>
        </w:rPr>
        <w:t xml:space="preserve"> (</w:t>
      </w:r>
      <w:r>
        <w:rPr>
          <w:rFonts w:hint="eastAsia"/>
          <w:rtl/>
        </w:rPr>
        <w:t>סנהדרין</w:t>
      </w:r>
      <w:r>
        <w:rPr>
          <w:rtl/>
        </w:rPr>
        <w:t xml:space="preserve"> </w:t>
      </w:r>
      <w:r>
        <w:rPr>
          <w:rFonts w:hint="eastAsia"/>
          <w:rtl/>
        </w:rPr>
        <w:t>נ״ד</w:t>
      </w:r>
      <w:r>
        <w:rPr>
          <w:rtl/>
        </w:rPr>
        <w:t xml:space="preserve">, </w:t>
      </w:r>
      <w:r>
        <w:rPr>
          <w:rFonts w:hint="eastAsia"/>
          <w:rtl/>
        </w:rPr>
        <w:t>ע״א</w:t>
      </w:r>
      <w:r>
        <w:rPr>
          <w:rtl/>
        </w:rPr>
        <w:t xml:space="preserve">, </w:t>
      </w:r>
      <w:r>
        <w:rPr>
          <w:rFonts w:hint="eastAsia"/>
          <w:rtl/>
        </w:rPr>
        <w:t>ועוד</w:t>
      </w:r>
      <w:r>
        <w:rPr>
          <w:rtl/>
        </w:rPr>
        <w:t>) —</w:t>
      </w:r>
      <w:r>
        <w:rPr>
          <w:rFonts w:hint="cs"/>
          <w:rtl/>
        </w:rPr>
        <w:t xml:space="preserve"> </w:t>
      </w:r>
      <w:r>
        <w:rPr>
          <w:rFonts w:hint="eastAsia"/>
          <w:rtl/>
        </w:rPr>
        <w:t>לא</w:t>
      </w:r>
      <w:r>
        <w:rPr>
          <w:rtl/>
        </w:rPr>
        <w:t xml:space="preserve"> </w:t>
      </w:r>
      <w:r>
        <w:rPr>
          <w:rFonts w:hint="eastAsia"/>
          <w:rtl/>
        </w:rPr>
        <w:t>מקל</w:t>
      </w:r>
      <w:r>
        <w:rPr>
          <w:rtl/>
        </w:rPr>
        <w:t xml:space="preserve"> </w:t>
      </w:r>
      <w:r>
        <w:rPr>
          <w:rFonts w:hint="eastAsia"/>
          <w:rtl/>
        </w:rPr>
        <w:t>וחומר</w:t>
      </w:r>
      <w:r>
        <w:rPr>
          <w:rtl/>
        </w:rPr>
        <w:t xml:space="preserve">, </w:t>
      </w:r>
      <w:r>
        <w:rPr>
          <w:rFonts w:hint="eastAsia"/>
          <w:rtl/>
        </w:rPr>
        <w:t>ולא</w:t>
      </w:r>
      <w:r>
        <w:rPr>
          <w:rtl/>
        </w:rPr>
        <w:t xml:space="preserve"> </w:t>
      </w:r>
      <w:r>
        <w:rPr>
          <w:rFonts w:hint="eastAsia"/>
          <w:rtl/>
        </w:rPr>
        <w:t>מגזירה</w:t>
      </w:r>
      <w:r>
        <w:rPr>
          <w:rtl/>
        </w:rPr>
        <w:t xml:space="preserve"> </w:t>
      </w:r>
      <w:r>
        <w:rPr>
          <w:rFonts w:hint="eastAsia"/>
          <w:rtl/>
        </w:rPr>
        <w:t>שווה</w:t>
      </w:r>
      <w:r>
        <w:rPr>
          <w:rtl/>
        </w:rPr>
        <w:t xml:space="preserve">, </w:t>
      </w:r>
      <w:r>
        <w:rPr>
          <w:rFonts w:hint="eastAsia"/>
          <w:rtl/>
        </w:rPr>
        <w:t>ולא</w:t>
      </w:r>
      <w:r>
        <w:rPr>
          <w:rtl/>
        </w:rPr>
        <w:t xml:space="preserve"> </w:t>
      </w:r>
      <w:r>
        <w:rPr>
          <w:rFonts w:hint="eastAsia"/>
          <w:rtl/>
        </w:rPr>
        <w:t>מכל</w:t>
      </w:r>
      <w:r>
        <w:rPr>
          <w:rtl/>
        </w:rPr>
        <w:t xml:space="preserve"> </w:t>
      </w:r>
      <w:r>
        <w:rPr>
          <w:rFonts w:hint="eastAsia"/>
          <w:rtl/>
        </w:rPr>
        <w:t>היקש</w:t>
      </w:r>
      <w:r>
        <w:rPr>
          <w:rtl/>
        </w:rPr>
        <w:t xml:space="preserve"> </w:t>
      </w:r>
      <w:r>
        <w:rPr>
          <w:rFonts w:hint="eastAsia"/>
          <w:rtl/>
        </w:rPr>
        <w:t>או</w:t>
      </w:r>
      <w:r>
        <w:rPr>
          <w:rtl/>
        </w:rPr>
        <w:t xml:space="preserve"> </w:t>
      </w:r>
      <w:r>
        <w:rPr>
          <w:rFonts w:hint="eastAsia"/>
          <w:rtl/>
        </w:rPr>
        <w:t>אנאלוגיה</w:t>
      </w:r>
      <w:r>
        <w:rPr>
          <w:rtl/>
        </w:rPr>
        <w:t xml:space="preserve">, </w:t>
      </w:r>
      <w:r>
        <w:rPr>
          <w:rFonts w:hint="eastAsia"/>
          <w:rtl/>
        </w:rPr>
        <w:t>אלא</w:t>
      </w:r>
      <w:r>
        <w:rPr>
          <w:rtl/>
        </w:rPr>
        <w:t xml:space="preserve"> </w:t>
      </w:r>
      <w:r>
        <w:rPr>
          <w:rFonts w:hint="eastAsia"/>
          <w:rtl/>
        </w:rPr>
        <w:t>מן</w:t>
      </w:r>
      <w:r>
        <w:rPr>
          <w:rtl/>
        </w:rPr>
        <w:t xml:space="preserve"> </w:t>
      </w:r>
      <w:r>
        <w:rPr>
          <w:rFonts w:hint="eastAsia"/>
          <w:rtl/>
        </w:rPr>
        <w:t>החוק</w:t>
      </w:r>
      <w:r>
        <w:rPr>
          <w:rtl/>
        </w:rPr>
        <w:t xml:space="preserve"> </w:t>
      </w:r>
      <w:r>
        <w:rPr>
          <w:rFonts w:hint="eastAsia"/>
          <w:rtl/>
        </w:rPr>
        <w:t>הכתוב</w:t>
      </w:r>
      <w:r>
        <w:rPr>
          <w:rFonts w:hint="cs"/>
          <w:rtl/>
        </w:rPr>
        <w:t xml:space="preserve"> </w:t>
      </w:r>
      <w:r>
        <w:rPr>
          <w:rFonts w:hint="eastAsia"/>
          <w:rtl/>
        </w:rPr>
        <w:t>והחקוק</w:t>
      </w:r>
      <w:r>
        <w:rPr>
          <w:rtl/>
        </w:rPr>
        <w:t xml:space="preserve"> </w:t>
      </w:r>
      <w:r>
        <w:rPr>
          <w:rFonts w:hint="eastAsia"/>
          <w:rtl/>
        </w:rPr>
        <w:t>בלבד</w:t>
      </w:r>
      <w:r>
        <w:rPr>
          <w:rtl/>
        </w:rPr>
        <w:t xml:space="preserve">. </w:t>
      </w:r>
      <w:r>
        <w:rPr>
          <w:rFonts w:hint="eastAsia"/>
          <w:rtl/>
        </w:rPr>
        <w:t>החוק</w:t>
      </w:r>
      <w:r>
        <w:rPr>
          <w:rtl/>
        </w:rPr>
        <w:t xml:space="preserve"> </w:t>
      </w:r>
      <w:r>
        <w:rPr>
          <w:rFonts w:hint="eastAsia"/>
          <w:rtl/>
        </w:rPr>
        <w:t>הוא</w:t>
      </w:r>
      <w:r>
        <w:rPr>
          <w:rtl/>
        </w:rPr>
        <w:t xml:space="preserve"> </w:t>
      </w:r>
      <w:r>
        <w:rPr>
          <w:rFonts w:hint="eastAsia"/>
          <w:rtl/>
        </w:rPr>
        <w:t>אשר</w:t>
      </w:r>
      <w:r>
        <w:rPr>
          <w:rtl/>
        </w:rPr>
        <w:t xml:space="preserve"> </w:t>
      </w:r>
      <w:r>
        <w:rPr>
          <w:rFonts w:hint="eastAsia"/>
          <w:rtl/>
        </w:rPr>
        <w:t>יכול</w:t>
      </w:r>
      <w:r>
        <w:rPr>
          <w:rtl/>
        </w:rPr>
        <w:t xml:space="preserve"> </w:t>
      </w:r>
      <w:r>
        <w:rPr>
          <w:rFonts w:hint="eastAsia"/>
          <w:rtl/>
        </w:rPr>
        <w:t>לעשות</w:t>
      </w:r>
      <w:r>
        <w:rPr>
          <w:rtl/>
        </w:rPr>
        <w:t xml:space="preserve"> </w:t>
      </w:r>
      <w:r>
        <w:rPr>
          <w:rFonts w:hint="eastAsia"/>
          <w:rtl/>
        </w:rPr>
        <w:t>מעשה</w:t>
      </w:r>
      <w:r>
        <w:rPr>
          <w:rtl/>
        </w:rPr>
        <w:t xml:space="preserve"> </w:t>
      </w:r>
      <w:r>
        <w:rPr>
          <w:rFonts w:hint="eastAsia"/>
          <w:rtl/>
        </w:rPr>
        <w:t>פלוני</w:t>
      </w:r>
      <w:r>
        <w:rPr>
          <w:rtl/>
        </w:rPr>
        <w:t xml:space="preserve">, </w:t>
      </w:r>
      <w:r>
        <w:rPr>
          <w:rFonts w:hint="eastAsia"/>
          <w:rtl/>
        </w:rPr>
        <w:t>על</w:t>
      </w:r>
      <w:r>
        <w:rPr>
          <w:rtl/>
        </w:rPr>
        <w:t xml:space="preserve"> </w:t>
      </w:r>
      <w:r>
        <w:rPr>
          <w:rFonts w:hint="eastAsia"/>
          <w:rtl/>
        </w:rPr>
        <w:t>מרכיביו</w:t>
      </w:r>
      <w:r>
        <w:rPr>
          <w:rtl/>
        </w:rPr>
        <w:t xml:space="preserve"> </w:t>
      </w:r>
      <w:r>
        <w:rPr>
          <w:rFonts w:hint="eastAsia"/>
          <w:rtl/>
        </w:rPr>
        <w:t>המוגדרים</w:t>
      </w:r>
      <w:r>
        <w:rPr>
          <w:rtl/>
        </w:rPr>
        <w:t xml:space="preserve">, </w:t>
      </w:r>
      <w:r>
        <w:rPr>
          <w:rFonts w:hint="eastAsia"/>
          <w:rtl/>
        </w:rPr>
        <w:t>לעבירה</w:t>
      </w:r>
      <w:r>
        <w:rPr>
          <w:rFonts w:hint="cs"/>
          <w:rtl/>
        </w:rPr>
        <w:t xml:space="preserve"> </w:t>
      </w:r>
      <w:r>
        <w:rPr>
          <w:rFonts w:hint="eastAsia"/>
          <w:rtl/>
        </w:rPr>
        <w:t>פלילית</w:t>
      </w:r>
      <w:r>
        <w:rPr>
          <w:rtl/>
        </w:rPr>
        <w:t xml:space="preserve">; </w:t>
      </w:r>
      <w:r>
        <w:rPr>
          <w:rFonts w:hint="eastAsia"/>
          <w:rtl/>
        </w:rPr>
        <w:t>ומה</w:t>
      </w:r>
      <w:r>
        <w:rPr>
          <w:rtl/>
        </w:rPr>
        <w:t xml:space="preserve"> </w:t>
      </w:r>
      <w:r>
        <w:rPr>
          <w:rFonts w:hint="eastAsia"/>
          <w:rtl/>
        </w:rPr>
        <w:t>שלא</w:t>
      </w:r>
      <w:r>
        <w:rPr>
          <w:rtl/>
        </w:rPr>
        <w:t xml:space="preserve"> </w:t>
      </w:r>
      <w:r>
        <w:rPr>
          <w:rFonts w:hint="eastAsia"/>
          <w:rtl/>
        </w:rPr>
        <w:t>עשה</w:t>
      </w:r>
      <w:r>
        <w:rPr>
          <w:rtl/>
        </w:rPr>
        <w:t xml:space="preserve"> </w:t>
      </w:r>
      <w:r>
        <w:rPr>
          <w:rFonts w:hint="eastAsia"/>
          <w:rtl/>
        </w:rPr>
        <w:t>החוק</w:t>
      </w:r>
      <w:r>
        <w:rPr>
          <w:rtl/>
        </w:rPr>
        <w:t xml:space="preserve"> </w:t>
      </w:r>
      <w:r>
        <w:rPr>
          <w:rFonts w:hint="eastAsia"/>
          <w:rtl/>
        </w:rPr>
        <w:t>בלשון</w:t>
      </w:r>
      <w:r>
        <w:rPr>
          <w:rtl/>
        </w:rPr>
        <w:t xml:space="preserve"> </w:t>
      </w:r>
      <w:r>
        <w:rPr>
          <w:rFonts w:hint="eastAsia"/>
          <w:rtl/>
        </w:rPr>
        <w:t>ברורה</w:t>
      </w:r>
      <w:r>
        <w:rPr>
          <w:rtl/>
        </w:rPr>
        <w:t xml:space="preserve"> </w:t>
      </w:r>
      <w:r>
        <w:rPr>
          <w:rFonts w:hint="eastAsia"/>
          <w:rtl/>
        </w:rPr>
        <w:t>ומפורשת</w:t>
      </w:r>
      <w:r>
        <w:rPr>
          <w:rtl/>
        </w:rPr>
        <w:t xml:space="preserve">, </w:t>
      </w:r>
      <w:r>
        <w:rPr>
          <w:rFonts w:hint="eastAsia"/>
          <w:rtl/>
        </w:rPr>
        <w:t>אין</w:t>
      </w:r>
      <w:r>
        <w:rPr>
          <w:rtl/>
        </w:rPr>
        <w:t xml:space="preserve"> </w:t>
      </w:r>
      <w:r>
        <w:rPr>
          <w:rFonts w:hint="eastAsia"/>
          <w:rtl/>
        </w:rPr>
        <w:t>שום</w:t>
      </w:r>
      <w:r>
        <w:rPr>
          <w:rtl/>
        </w:rPr>
        <w:t xml:space="preserve"> </w:t>
      </w:r>
      <w:r>
        <w:rPr>
          <w:rFonts w:hint="eastAsia"/>
          <w:rtl/>
        </w:rPr>
        <w:t>פרשנות</w:t>
      </w:r>
      <w:r>
        <w:rPr>
          <w:rtl/>
        </w:rPr>
        <w:t xml:space="preserve"> </w:t>
      </w:r>
      <w:r>
        <w:rPr>
          <w:rFonts w:hint="eastAsia"/>
          <w:rtl/>
        </w:rPr>
        <w:t>ואנאלוגיה</w:t>
      </w:r>
      <w:r>
        <w:rPr>
          <w:rtl/>
        </w:rPr>
        <w:t xml:space="preserve"> </w:t>
      </w:r>
      <w:r>
        <w:rPr>
          <w:rFonts w:hint="eastAsia"/>
          <w:rtl/>
        </w:rPr>
        <w:t>והגיון</w:t>
      </w:r>
      <w:r>
        <w:rPr>
          <w:rFonts w:hint="cs"/>
          <w:rtl/>
        </w:rPr>
        <w:t xml:space="preserve"> </w:t>
      </w:r>
      <w:r>
        <w:rPr>
          <w:rFonts w:hint="eastAsia"/>
          <w:rtl/>
        </w:rPr>
        <w:t>יכולים</w:t>
      </w:r>
      <w:r>
        <w:rPr>
          <w:rtl/>
        </w:rPr>
        <w:t xml:space="preserve"> </w:t>
      </w:r>
      <w:r>
        <w:rPr>
          <w:rFonts w:hint="eastAsia"/>
          <w:rtl/>
        </w:rPr>
        <w:t>לעשות</w:t>
      </w:r>
      <w:r>
        <w:rPr>
          <w:rFonts w:hint="cs"/>
          <w:rtl/>
        </w:rPr>
        <w:t>" (שם, בעמ' 372).</w:t>
      </w:r>
    </w:p>
    <w:p w:rsidR="000F3C05" w:rsidRDefault="000F3C05" w:rsidP="00895777">
      <w:pPr>
        <w:pStyle w:val="af6"/>
        <w:rPr>
          <w:rtl/>
        </w:rPr>
      </w:pPr>
      <w:r>
        <w:rPr>
          <w:rtl/>
        </w:rPr>
        <w:tab/>
      </w:r>
      <w:r>
        <w:rPr>
          <w:rFonts w:hint="cs"/>
          <w:rtl/>
        </w:rPr>
        <w:t xml:space="preserve">כך גם כתב פרופ' </w:t>
      </w:r>
      <w:r w:rsidRPr="00ED64F7">
        <w:rPr>
          <w:rFonts w:ascii="Century" w:hAnsi="Century" w:cs="Miriam" w:hint="cs"/>
          <w:b/>
          <w:spacing w:val="0"/>
          <w:szCs w:val="24"/>
          <w:rtl/>
        </w:rPr>
        <w:t>ש</w:t>
      </w:r>
      <w:r>
        <w:rPr>
          <w:rFonts w:ascii="Century" w:hAnsi="Century" w:cs="Miriam" w:hint="cs"/>
          <w:b/>
          <w:spacing w:val="0"/>
          <w:szCs w:val="24"/>
          <w:rtl/>
        </w:rPr>
        <w:t>"ז</w:t>
      </w:r>
      <w:r w:rsidRPr="00ED64F7">
        <w:rPr>
          <w:rFonts w:ascii="Century" w:hAnsi="Century" w:cs="Miriam" w:hint="cs"/>
          <w:b/>
          <w:spacing w:val="0"/>
          <w:szCs w:val="24"/>
          <w:rtl/>
        </w:rPr>
        <w:t xml:space="preserve"> </w:t>
      </w:r>
      <w:proofErr w:type="spellStart"/>
      <w:r w:rsidRPr="00ED64F7">
        <w:rPr>
          <w:rFonts w:ascii="Century" w:hAnsi="Century" w:cs="Miriam" w:hint="cs"/>
          <w:b/>
          <w:spacing w:val="0"/>
          <w:szCs w:val="24"/>
          <w:rtl/>
        </w:rPr>
        <w:t>פלר</w:t>
      </w:r>
      <w:proofErr w:type="spellEnd"/>
      <w:r>
        <w:rPr>
          <w:rFonts w:hint="cs"/>
          <w:rtl/>
        </w:rPr>
        <w:t xml:space="preserve">, כי "עקרון יסוד, ראשון במעלה, בדיני העונשין של מדינת שלטון החוק הוא עקרון החוקיות: אין עבירה ואין עונש אלא על פי חוק שעמד בתקפו בעת עשיית העבירה ושחל עליה גם מבחינת מקום עשייתה"; וכי מימוש עקרון זה מותנה ב"הגדרה מפורטת של האיסור, כדי שהציבור יידע באורח </w:t>
      </w:r>
      <w:proofErr w:type="spellStart"/>
      <w:r>
        <w:rPr>
          <w:rFonts w:hint="cs"/>
          <w:rtl/>
        </w:rPr>
        <w:t>המדוייק</w:t>
      </w:r>
      <w:proofErr w:type="spellEnd"/>
      <w:r>
        <w:rPr>
          <w:rFonts w:hint="cs"/>
          <w:rtl/>
        </w:rPr>
        <w:t xml:space="preserve"> ביותר אילו </w:t>
      </w:r>
      <w:r>
        <w:rPr>
          <w:rFonts w:hint="cs"/>
          <w:rtl/>
        </w:rPr>
        <w:lastRenderedPageBreak/>
        <w:t>הם דפוסי ההתנהגות שעליו להימנע מהם, תוך ביטחון שכל התנהגות אחרת היא מותרת מבחינת דיני העונשין" (</w:t>
      </w:r>
      <w:r w:rsidRPr="00582117">
        <w:rPr>
          <w:rFonts w:hint="eastAsia"/>
          <w:rtl/>
        </w:rPr>
        <w:t>ש</w:t>
      </w:r>
      <w:r w:rsidRPr="00FE236A">
        <w:rPr>
          <w:rStyle w:val="af7"/>
          <w:rtl/>
        </w:rPr>
        <w:t>"</w:t>
      </w:r>
      <w:r w:rsidRPr="00FE236A">
        <w:rPr>
          <w:rStyle w:val="af7"/>
          <w:rFonts w:hint="eastAsia"/>
          <w:rtl/>
        </w:rPr>
        <w:t>ז</w:t>
      </w:r>
      <w:r w:rsidRPr="00FE236A">
        <w:rPr>
          <w:rStyle w:val="af7"/>
          <w:rtl/>
        </w:rPr>
        <w:t xml:space="preserve"> </w:t>
      </w:r>
      <w:proofErr w:type="spellStart"/>
      <w:r w:rsidRPr="00FE236A">
        <w:rPr>
          <w:rStyle w:val="af7"/>
          <w:rFonts w:hint="eastAsia"/>
          <w:rtl/>
        </w:rPr>
        <w:t>פלר</w:t>
      </w:r>
      <w:proofErr w:type="spellEnd"/>
      <w:r w:rsidRPr="00ED64F7">
        <w:rPr>
          <w:rFonts w:ascii="Century" w:hAnsi="Century" w:cs="Miriam"/>
          <w:b/>
          <w:spacing w:val="0"/>
          <w:szCs w:val="24"/>
          <w:rtl/>
        </w:rPr>
        <w:t xml:space="preserve"> </w:t>
      </w:r>
      <w:r w:rsidRPr="00ED64F7">
        <w:rPr>
          <w:rFonts w:ascii="Century" w:hAnsi="Century" w:cs="Miriam" w:hint="eastAsia"/>
          <w:b/>
          <w:spacing w:val="0"/>
          <w:szCs w:val="24"/>
          <w:rtl/>
        </w:rPr>
        <w:t>יסודות</w:t>
      </w:r>
      <w:r w:rsidRPr="00ED64F7">
        <w:rPr>
          <w:rFonts w:ascii="Century" w:hAnsi="Century" w:cs="Miriam"/>
          <w:b/>
          <w:spacing w:val="0"/>
          <w:szCs w:val="24"/>
          <w:rtl/>
        </w:rPr>
        <w:t xml:space="preserve"> </w:t>
      </w:r>
      <w:r w:rsidRPr="00ED64F7">
        <w:rPr>
          <w:rFonts w:ascii="Century" w:hAnsi="Century" w:cs="Miriam" w:hint="eastAsia"/>
          <w:b/>
          <w:spacing w:val="0"/>
          <w:szCs w:val="24"/>
          <w:rtl/>
        </w:rPr>
        <w:t>בדיני</w:t>
      </w:r>
      <w:r w:rsidRPr="00ED64F7">
        <w:rPr>
          <w:rFonts w:ascii="Century" w:hAnsi="Century" w:cs="Miriam"/>
          <w:b/>
          <w:spacing w:val="0"/>
          <w:szCs w:val="24"/>
          <w:rtl/>
        </w:rPr>
        <w:t xml:space="preserve"> </w:t>
      </w:r>
      <w:r w:rsidRPr="00ED64F7">
        <w:rPr>
          <w:rFonts w:ascii="Century" w:hAnsi="Century" w:cs="Miriam" w:hint="eastAsia"/>
          <w:b/>
          <w:spacing w:val="0"/>
          <w:szCs w:val="24"/>
          <w:rtl/>
        </w:rPr>
        <w:t>עונשין</w:t>
      </w:r>
      <w:r>
        <w:rPr>
          <w:rFonts w:hint="cs"/>
          <w:rtl/>
        </w:rPr>
        <w:t xml:space="preserve"> כרך א, </w:t>
      </w:r>
      <w:r w:rsidR="00895777">
        <w:rPr>
          <w:rFonts w:hint="cs"/>
          <w:rtl/>
        </w:rPr>
        <w:t>14</w:t>
      </w:r>
      <w:r>
        <w:rPr>
          <w:rFonts w:hint="cs"/>
          <w:rtl/>
        </w:rPr>
        <w:t>, 1</w:t>
      </w:r>
      <w:r w:rsidR="00895777">
        <w:rPr>
          <w:rFonts w:hint="cs"/>
          <w:rtl/>
        </w:rPr>
        <w:t>9</w:t>
      </w:r>
      <w:r>
        <w:rPr>
          <w:rFonts w:hint="cs"/>
          <w:rtl/>
        </w:rPr>
        <w:t xml:space="preserve"> (</w:t>
      </w:r>
      <w:r w:rsidRPr="00582117">
        <w:rPr>
          <w:rtl/>
        </w:rPr>
        <w:t>1984)).</w:t>
      </w:r>
    </w:p>
    <w:p w:rsidR="000F3C05" w:rsidRDefault="000F3C05" w:rsidP="000F3C05">
      <w:pPr>
        <w:pStyle w:val="a"/>
        <w:rPr>
          <w:rtl/>
        </w:rPr>
      </w:pPr>
      <w:r>
        <w:rPr>
          <w:rFonts w:hint="cs"/>
          <w:rtl/>
        </w:rPr>
        <w:t xml:space="preserve">הנה כי כן, עקרון החוקיות מחייב קביעתן של נורמות ברורות ומפורשות: התנהגות שהמחוקק ראה בה התנהגות פסולה </w:t>
      </w:r>
      <w:r>
        <w:rPr>
          <w:rtl/>
        </w:rPr>
        <w:t>–</w:t>
      </w:r>
      <w:r>
        <w:rPr>
          <w:rFonts w:hint="cs"/>
          <w:rtl/>
        </w:rPr>
        <w:t xml:space="preserve"> נאסרה במפורש על פי חוק; ואילו התנהגות שלא נאסרה במפורש </w:t>
      </w:r>
      <w:r>
        <w:rPr>
          <w:rtl/>
        </w:rPr>
        <w:t>–</w:t>
      </w:r>
      <w:r>
        <w:rPr>
          <w:rFonts w:hint="cs"/>
          <w:rtl/>
        </w:rPr>
        <w:t xml:space="preserve"> מותרת. </w:t>
      </w:r>
    </w:p>
    <w:p w:rsidR="000F3C05" w:rsidRDefault="000F3C05" w:rsidP="000F3C05">
      <w:pPr>
        <w:pStyle w:val="af6"/>
        <w:rPr>
          <w:rtl/>
        </w:rPr>
      </w:pPr>
      <w:r>
        <w:rPr>
          <w:rtl/>
        </w:rPr>
        <w:tab/>
      </w:r>
      <w:r>
        <w:rPr>
          <w:rFonts w:hint="cs"/>
          <w:rtl/>
        </w:rPr>
        <w:t>לנוכח הנחת מוצא זו, ברור כי יש קושי ממשי לאמץ את תזת הצבירה, שכן על פיה מספר פעולות שביצע אדם, שאינן אסורות על פי דין, עלולות להתברר בדיעבד ביום מן הימים כמעשה פלילי. תוצאה זו אינה עולה בקנה אחד עם עקרון החוקיות, שהוא כאמור ראש וראשון לדין הפלילי, והיא סותרת במובהק את התכלית של הגנה על הפרט מפני קביעות שרירותיות של רשויות החקירה והתביעה, באופן שאינו מאפשר לו לכלכל מראש את צעדיו בהתאם לנורמות ברורות וידועות.</w:t>
      </w:r>
    </w:p>
    <w:p w:rsidR="000F3C05" w:rsidRDefault="000F3C05" w:rsidP="00DB4514">
      <w:pPr>
        <w:pStyle w:val="a"/>
        <w:rPr>
          <w:rtl/>
        </w:rPr>
      </w:pPr>
      <w:r>
        <w:rPr>
          <w:rFonts w:hint="cs"/>
          <w:rtl/>
        </w:rPr>
        <w:t>הקושי המתואר באימוץ תזת הצבירה אך מתגבר כאשר מבוקש ליישמה בגדרי עבירת המרמה והפרת האמונים. בצדק הטעימו באי</w:t>
      </w:r>
      <w:r w:rsidR="00DB4514">
        <w:rPr>
          <w:rFonts w:hint="cs"/>
          <w:rtl/>
        </w:rPr>
        <w:t xml:space="preserve"> </w:t>
      </w:r>
      <w:r>
        <w:rPr>
          <w:rFonts w:hint="cs"/>
          <w:rtl/>
        </w:rPr>
        <w:t xml:space="preserve">כוח המבקש, כי בשונה מעבירות אחרות, בהן הרכיב ההתנהגותי מוגדר בצורה ברורה ומפורשת כמעשה או כמחדל, הרי שהאיסור על "מעשה מרמה והפרת אמונים" מנוסח באופן המבטא דרישה לדרך התנהגות בסיסית המצופה מעובד הציבור, אשר לא נלווים לצידה רשימת כללים בבחינת "עשה" ו"אל תעשה". </w:t>
      </w:r>
    </w:p>
    <w:p w:rsidR="000F3C05" w:rsidRDefault="000F3C05" w:rsidP="00DB4514">
      <w:pPr>
        <w:pStyle w:val="af6"/>
        <w:rPr>
          <w:rtl/>
        </w:rPr>
      </w:pPr>
      <w:r>
        <w:rPr>
          <w:rtl/>
        </w:rPr>
        <w:tab/>
      </w:r>
      <w:r>
        <w:rPr>
          <w:rFonts w:hint="cs"/>
          <w:rtl/>
        </w:rPr>
        <w:t>שוליה העמומים של עבירה זו עוררו ביקורת רבה בספרות המשפטית, והביאו את בית המשפט לנסות ולתחום את גבולות המותר והאסור (ראו לאחרונה ב</w:t>
      </w:r>
      <w:r>
        <w:rPr>
          <w:rFonts w:ascii="Century" w:hAnsi="Century" w:cs="Miriam" w:hint="cs"/>
          <w:b/>
          <w:spacing w:val="0"/>
          <w:szCs w:val="24"/>
          <w:rtl/>
        </w:rPr>
        <w:t>עניין</w:t>
      </w:r>
      <w:r w:rsidRPr="00890A84">
        <w:rPr>
          <w:rFonts w:ascii="Century" w:hAnsi="Century" w:cs="Miriam" w:hint="cs"/>
          <w:b/>
          <w:spacing w:val="0"/>
          <w:szCs w:val="24"/>
          <w:rtl/>
        </w:rPr>
        <w:t xml:space="preserve"> חסן</w:t>
      </w:r>
      <w:r>
        <w:rPr>
          <w:rFonts w:hint="cs"/>
          <w:rtl/>
        </w:rPr>
        <w:t xml:space="preserve">, בפסקאות 9 ו-130 לפסק דיני ובפסקה 4 לפסק דינו של חברי השופט </w:t>
      </w:r>
      <w:r w:rsidRPr="00890A84">
        <w:rPr>
          <w:rFonts w:ascii="Century" w:hAnsi="Century" w:cs="Miriam" w:hint="cs"/>
          <w:b/>
          <w:spacing w:val="0"/>
          <w:szCs w:val="24"/>
          <w:rtl/>
        </w:rPr>
        <w:t>נ' הנדל</w:t>
      </w:r>
      <w:r>
        <w:rPr>
          <w:rFonts w:hint="cs"/>
          <w:rtl/>
        </w:rPr>
        <w:t>; לדיון בספרות המשפטית והצעה לתיקון חקיקתי ראו, מבין מקורות רבים,</w:t>
      </w:r>
      <w:r w:rsidRPr="0057792C">
        <w:rPr>
          <w:rtl/>
        </w:rPr>
        <w:t xml:space="preserve"> </w:t>
      </w:r>
      <w:r w:rsidRPr="0057792C">
        <w:rPr>
          <w:rFonts w:hint="eastAsia"/>
          <w:rtl/>
        </w:rPr>
        <w:t>מרדכי</w:t>
      </w:r>
      <w:r w:rsidRPr="0057792C">
        <w:rPr>
          <w:rtl/>
        </w:rPr>
        <w:t xml:space="preserve"> </w:t>
      </w:r>
      <w:proofErr w:type="spellStart"/>
      <w:r w:rsidRPr="0057792C">
        <w:rPr>
          <w:rFonts w:hint="eastAsia"/>
          <w:rtl/>
        </w:rPr>
        <w:t>קרמינצר</w:t>
      </w:r>
      <w:proofErr w:type="spellEnd"/>
      <w:r w:rsidRPr="0057792C">
        <w:rPr>
          <w:rtl/>
        </w:rPr>
        <w:t xml:space="preserve">, </w:t>
      </w:r>
      <w:r>
        <w:rPr>
          <w:rFonts w:hint="cs"/>
          <w:rtl/>
        </w:rPr>
        <w:t>דורון נבות, נאוה בן</w:t>
      </w:r>
      <w:r w:rsidR="00DB4514">
        <w:rPr>
          <w:rFonts w:hint="cs"/>
          <w:rtl/>
        </w:rPr>
        <w:t xml:space="preserve"> </w:t>
      </w:r>
      <w:r>
        <w:rPr>
          <w:rFonts w:hint="cs"/>
          <w:rtl/>
        </w:rPr>
        <w:t xml:space="preserve">אור, </w:t>
      </w:r>
      <w:r w:rsidRPr="0057792C">
        <w:rPr>
          <w:rFonts w:hint="eastAsia"/>
          <w:rtl/>
        </w:rPr>
        <w:t>עמיר</w:t>
      </w:r>
      <w:r w:rsidRPr="0057792C">
        <w:rPr>
          <w:rtl/>
        </w:rPr>
        <w:t xml:space="preserve"> </w:t>
      </w:r>
      <w:r w:rsidRPr="0057792C">
        <w:rPr>
          <w:rFonts w:hint="eastAsia"/>
          <w:rtl/>
        </w:rPr>
        <w:t>פוקס</w:t>
      </w:r>
      <w:r>
        <w:rPr>
          <w:rFonts w:hint="cs"/>
          <w:rtl/>
        </w:rPr>
        <w:t xml:space="preserve"> </w:t>
      </w:r>
      <w:r w:rsidRPr="0057792C">
        <w:rPr>
          <w:rFonts w:hint="eastAsia"/>
          <w:rtl/>
        </w:rPr>
        <w:t>וגיא</w:t>
      </w:r>
      <w:r w:rsidRPr="0057792C">
        <w:rPr>
          <w:rtl/>
        </w:rPr>
        <w:t xml:space="preserve"> </w:t>
      </w:r>
      <w:proofErr w:type="spellStart"/>
      <w:r>
        <w:rPr>
          <w:rFonts w:hint="eastAsia"/>
          <w:rtl/>
        </w:rPr>
        <w:t>ורטה</w:t>
      </w:r>
      <w:r w:rsidRPr="0057792C">
        <w:rPr>
          <w:rFonts w:hint="eastAsia"/>
          <w:rtl/>
        </w:rPr>
        <w:t>ים</w:t>
      </w:r>
      <w:proofErr w:type="spellEnd"/>
      <w:r w:rsidRPr="0057792C">
        <w:rPr>
          <w:rtl/>
        </w:rPr>
        <w:t xml:space="preserve"> </w:t>
      </w:r>
      <w:r w:rsidRPr="00890A84">
        <w:rPr>
          <w:rFonts w:ascii="Century" w:hAnsi="Century" w:cs="Miriam" w:hint="eastAsia"/>
          <w:b/>
          <w:spacing w:val="0"/>
          <w:szCs w:val="24"/>
          <w:rtl/>
        </w:rPr>
        <w:t>מרמה</w:t>
      </w:r>
      <w:r w:rsidRPr="00890A84">
        <w:rPr>
          <w:rFonts w:ascii="Century" w:hAnsi="Century" w:cs="Miriam"/>
          <w:b/>
          <w:spacing w:val="0"/>
          <w:szCs w:val="24"/>
          <w:rtl/>
        </w:rPr>
        <w:t xml:space="preserve"> </w:t>
      </w:r>
      <w:r w:rsidRPr="00890A84">
        <w:rPr>
          <w:rFonts w:ascii="Century" w:hAnsi="Century" w:cs="Miriam" w:hint="eastAsia"/>
          <w:b/>
          <w:spacing w:val="0"/>
          <w:szCs w:val="24"/>
          <w:rtl/>
        </w:rPr>
        <w:t>והפרת</w:t>
      </w:r>
      <w:r w:rsidRPr="00890A84">
        <w:rPr>
          <w:rFonts w:ascii="Century" w:hAnsi="Century" w:cs="Miriam"/>
          <w:b/>
          <w:spacing w:val="0"/>
          <w:szCs w:val="24"/>
          <w:rtl/>
        </w:rPr>
        <w:t xml:space="preserve"> </w:t>
      </w:r>
      <w:r w:rsidRPr="00890A84">
        <w:rPr>
          <w:rFonts w:ascii="Century" w:hAnsi="Century" w:cs="Miriam" w:hint="eastAsia"/>
          <w:b/>
          <w:spacing w:val="0"/>
          <w:szCs w:val="24"/>
          <w:rtl/>
        </w:rPr>
        <w:t>אמונים</w:t>
      </w:r>
      <w:r w:rsidRPr="00890A84">
        <w:rPr>
          <w:rFonts w:ascii="Century" w:hAnsi="Century" w:cs="Miriam"/>
          <w:b/>
          <w:spacing w:val="0"/>
          <w:szCs w:val="24"/>
          <w:rtl/>
        </w:rPr>
        <w:t xml:space="preserve">: </w:t>
      </w:r>
      <w:r w:rsidRPr="00890A84">
        <w:rPr>
          <w:rFonts w:ascii="Century" w:hAnsi="Century" w:cs="Miriam" w:hint="eastAsia"/>
          <w:b/>
          <w:spacing w:val="0"/>
          <w:szCs w:val="24"/>
          <w:rtl/>
        </w:rPr>
        <w:t>בחינה</w:t>
      </w:r>
      <w:r w:rsidRPr="00890A84">
        <w:rPr>
          <w:rFonts w:ascii="Century" w:hAnsi="Century" w:cs="Miriam"/>
          <w:b/>
          <w:spacing w:val="0"/>
          <w:szCs w:val="24"/>
          <w:rtl/>
        </w:rPr>
        <w:t xml:space="preserve"> </w:t>
      </w:r>
      <w:r w:rsidRPr="00890A84">
        <w:rPr>
          <w:rFonts w:ascii="Century" w:hAnsi="Century" w:cs="Miriam" w:hint="eastAsia"/>
          <w:b/>
          <w:spacing w:val="0"/>
          <w:szCs w:val="24"/>
          <w:rtl/>
        </w:rPr>
        <w:t>ביקורתית</w:t>
      </w:r>
      <w:r w:rsidRPr="00890A84">
        <w:rPr>
          <w:rFonts w:ascii="Century" w:hAnsi="Century" w:cs="Miriam"/>
          <w:b/>
          <w:spacing w:val="0"/>
          <w:szCs w:val="24"/>
          <w:rtl/>
        </w:rPr>
        <w:t xml:space="preserve"> </w:t>
      </w:r>
      <w:r w:rsidRPr="00890A84">
        <w:rPr>
          <w:rFonts w:ascii="Century" w:hAnsi="Century" w:cs="Miriam" w:hint="eastAsia"/>
          <w:b/>
          <w:spacing w:val="0"/>
          <w:szCs w:val="24"/>
          <w:rtl/>
        </w:rPr>
        <w:t>והמלצות</w:t>
      </w:r>
      <w:r w:rsidRPr="00890A84">
        <w:rPr>
          <w:rFonts w:ascii="Century" w:hAnsi="Century" w:cs="Miriam"/>
          <w:b/>
          <w:spacing w:val="0"/>
          <w:szCs w:val="24"/>
          <w:rtl/>
        </w:rPr>
        <w:t xml:space="preserve"> </w:t>
      </w:r>
      <w:r w:rsidRPr="00890A84">
        <w:rPr>
          <w:rFonts w:ascii="Century" w:hAnsi="Century" w:cs="Miriam" w:hint="eastAsia"/>
          <w:b/>
          <w:spacing w:val="0"/>
          <w:szCs w:val="24"/>
          <w:rtl/>
        </w:rPr>
        <w:t>לשיפור</w:t>
      </w:r>
      <w:r w:rsidRPr="00890A84">
        <w:rPr>
          <w:rFonts w:ascii="Century" w:hAnsi="Century" w:cs="Miriam"/>
          <w:b/>
          <w:spacing w:val="0"/>
          <w:szCs w:val="24"/>
          <w:rtl/>
        </w:rPr>
        <w:t xml:space="preserve"> </w:t>
      </w:r>
      <w:r w:rsidRPr="00890A84">
        <w:rPr>
          <w:rFonts w:ascii="Century" w:hAnsi="Century" w:cs="Miriam" w:hint="eastAsia"/>
          <w:b/>
          <w:spacing w:val="0"/>
          <w:szCs w:val="24"/>
          <w:rtl/>
        </w:rPr>
        <w:t>החקיקה</w:t>
      </w:r>
      <w:r w:rsidRPr="0057792C">
        <w:rPr>
          <w:rtl/>
        </w:rPr>
        <w:t xml:space="preserve"> (2008); </w:t>
      </w:r>
      <w:r>
        <w:rPr>
          <w:rFonts w:hint="cs"/>
          <w:rtl/>
        </w:rPr>
        <w:t xml:space="preserve">כן ראו </w:t>
      </w:r>
      <w:r w:rsidRPr="0057792C">
        <w:rPr>
          <w:rFonts w:hint="eastAsia"/>
          <w:rtl/>
        </w:rPr>
        <w:t>מרים</w:t>
      </w:r>
      <w:r w:rsidRPr="0057792C">
        <w:rPr>
          <w:rtl/>
        </w:rPr>
        <w:t xml:space="preserve"> </w:t>
      </w:r>
      <w:r w:rsidRPr="0057792C">
        <w:rPr>
          <w:rFonts w:hint="eastAsia"/>
          <w:rtl/>
        </w:rPr>
        <w:t>גור</w:t>
      </w:r>
      <w:r w:rsidR="00DB4514">
        <w:rPr>
          <w:rFonts w:hint="cs"/>
          <w:rtl/>
        </w:rPr>
        <w:t xml:space="preserve"> </w:t>
      </w:r>
      <w:r w:rsidRPr="0057792C">
        <w:rPr>
          <w:rFonts w:hint="eastAsia"/>
          <w:rtl/>
        </w:rPr>
        <w:t>אריה</w:t>
      </w:r>
      <w:r w:rsidRPr="0057792C">
        <w:rPr>
          <w:rtl/>
        </w:rPr>
        <w:t xml:space="preserve"> "</w:t>
      </w:r>
      <w:r w:rsidRPr="0057792C">
        <w:rPr>
          <w:rFonts w:hint="eastAsia"/>
          <w:rtl/>
        </w:rPr>
        <w:t>פניקה</w:t>
      </w:r>
      <w:r w:rsidRPr="0057792C">
        <w:rPr>
          <w:rtl/>
        </w:rPr>
        <w:t xml:space="preserve"> </w:t>
      </w:r>
      <w:r w:rsidRPr="0057792C">
        <w:rPr>
          <w:rFonts w:hint="eastAsia"/>
          <w:rtl/>
        </w:rPr>
        <w:t>מוסרית</w:t>
      </w:r>
      <w:r w:rsidRPr="0057792C">
        <w:rPr>
          <w:rtl/>
        </w:rPr>
        <w:t xml:space="preserve"> </w:t>
      </w:r>
      <w:r w:rsidRPr="0057792C">
        <w:rPr>
          <w:rFonts w:hint="eastAsia"/>
          <w:rtl/>
        </w:rPr>
        <w:t>והשחיתות</w:t>
      </w:r>
      <w:r w:rsidRPr="0057792C">
        <w:rPr>
          <w:rtl/>
        </w:rPr>
        <w:t xml:space="preserve"> </w:t>
      </w:r>
      <w:r w:rsidRPr="0057792C">
        <w:rPr>
          <w:rFonts w:hint="eastAsia"/>
          <w:rtl/>
        </w:rPr>
        <w:t>השלטונית</w:t>
      </w:r>
      <w:r>
        <w:rPr>
          <w:rtl/>
        </w:rPr>
        <w:t>:</w:t>
      </w:r>
      <w:r>
        <w:rPr>
          <w:rFonts w:hint="cs"/>
          <w:rtl/>
        </w:rPr>
        <w:t xml:space="preserve"> </w:t>
      </w:r>
      <w:r w:rsidRPr="0057792C">
        <w:rPr>
          <w:rFonts w:hint="eastAsia"/>
          <w:rtl/>
        </w:rPr>
        <w:t>השתלטות</w:t>
      </w:r>
      <w:r w:rsidRPr="0057792C">
        <w:rPr>
          <w:rtl/>
        </w:rPr>
        <w:t xml:space="preserve"> </w:t>
      </w:r>
      <w:r w:rsidRPr="0057792C">
        <w:rPr>
          <w:rFonts w:hint="eastAsia"/>
          <w:rtl/>
        </w:rPr>
        <w:t>העבירה</w:t>
      </w:r>
      <w:r w:rsidRPr="0057792C">
        <w:rPr>
          <w:rtl/>
        </w:rPr>
        <w:t xml:space="preserve"> </w:t>
      </w:r>
      <w:r w:rsidRPr="0057792C">
        <w:rPr>
          <w:rFonts w:hint="eastAsia"/>
          <w:rtl/>
        </w:rPr>
        <w:t>הפלילית</w:t>
      </w:r>
      <w:r w:rsidRPr="0057792C">
        <w:rPr>
          <w:rtl/>
        </w:rPr>
        <w:t xml:space="preserve"> </w:t>
      </w:r>
      <w:r w:rsidRPr="0057792C">
        <w:rPr>
          <w:rFonts w:hint="eastAsia"/>
          <w:rtl/>
        </w:rPr>
        <w:t>של</w:t>
      </w:r>
      <w:r w:rsidRPr="0057792C">
        <w:rPr>
          <w:rtl/>
        </w:rPr>
        <w:t xml:space="preserve"> </w:t>
      </w:r>
      <w:r w:rsidRPr="0057792C">
        <w:rPr>
          <w:rFonts w:hint="eastAsia"/>
          <w:rtl/>
        </w:rPr>
        <w:t>הפרת</w:t>
      </w:r>
      <w:r w:rsidRPr="0057792C">
        <w:rPr>
          <w:rtl/>
        </w:rPr>
        <w:t xml:space="preserve"> </w:t>
      </w:r>
      <w:r w:rsidRPr="0057792C">
        <w:rPr>
          <w:rFonts w:hint="eastAsia"/>
          <w:rtl/>
        </w:rPr>
        <w:t>אמונים</w:t>
      </w:r>
      <w:r w:rsidRPr="0057792C">
        <w:rPr>
          <w:rtl/>
        </w:rPr>
        <w:t xml:space="preserve"> </w:t>
      </w:r>
      <w:r w:rsidRPr="0057792C">
        <w:rPr>
          <w:rFonts w:hint="eastAsia"/>
          <w:rtl/>
        </w:rPr>
        <w:t>על</w:t>
      </w:r>
      <w:r w:rsidRPr="0057792C">
        <w:rPr>
          <w:rtl/>
        </w:rPr>
        <w:t xml:space="preserve"> </w:t>
      </w:r>
      <w:r w:rsidRPr="0057792C">
        <w:rPr>
          <w:rFonts w:hint="eastAsia"/>
          <w:rtl/>
        </w:rPr>
        <w:t>התחום</w:t>
      </w:r>
      <w:r w:rsidRPr="0057792C">
        <w:rPr>
          <w:rtl/>
        </w:rPr>
        <w:t xml:space="preserve"> </w:t>
      </w:r>
      <w:r w:rsidRPr="0057792C">
        <w:rPr>
          <w:rFonts w:hint="eastAsia"/>
          <w:rtl/>
        </w:rPr>
        <w:t>האתי</w:t>
      </w:r>
      <w:r w:rsidRPr="0057792C">
        <w:rPr>
          <w:rtl/>
        </w:rPr>
        <w:t xml:space="preserve"> </w:t>
      </w:r>
      <w:r w:rsidRPr="0057792C">
        <w:rPr>
          <w:rFonts w:hint="eastAsia"/>
          <w:rtl/>
        </w:rPr>
        <w:t>והמשמעתי</w:t>
      </w:r>
      <w:r w:rsidRPr="0057792C">
        <w:rPr>
          <w:rtl/>
        </w:rPr>
        <w:t xml:space="preserve">" </w:t>
      </w:r>
      <w:r w:rsidRPr="00890A84">
        <w:rPr>
          <w:rFonts w:ascii="Century" w:hAnsi="Century" w:cs="Miriam" w:hint="eastAsia"/>
          <w:b/>
          <w:spacing w:val="0"/>
          <w:szCs w:val="24"/>
          <w:rtl/>
        </w:rPr>
        <w:t>משפט</w:t>
      </w:r>
      <w:r w:rsidRPr="00890A84">
        <w:rPr>
          <w:rFonts w:ascii="Century" w:hAnsi="Century" w:cs="Miriam"/>
          <w:b/>
          <w:spacing w:val="0"/>
          <w:szCs w:val="24"/>
          <w:rtl/>
        </w:rPr>
        <w:t xml:space="preserve"> </w:t>
      </w:r>
      <w:r w:rsidRPr="00890A84">
        <w:rPr>
          <w:rFonts w:ascii="Century" w:hAnsi="Century" w:cs="Miriam" w:hint="eastAsia"/>
          <w:b/>
          <w:spacing w:val="0"/>
          <w:szCs w:val="24"/>
          <w:rtl/>
        </w:rPr>
        <w:t>ועסקים</w:t>
      </w:r>
      <w:r w:rsidRPr="0057792C">
        <w:rPr>
          <w:rtl/>
        </w:rPr>
        <w:t xml:space="preserve"> </w:t>
      </w:r>
      <w:proofErr w:type="spellStart"/>
      <w:r w:rsidRPr="0057792C">
        <w:rPr>
          <w:rFonts w:hint="eastAsia"/>
          <w:rtl/>
        </w:rPr>
        <w:t>יז</w:t>
      </w:r>
      <w:proofErr w:type="spellEnd"/>
      <w:r w:rsidRPr="0057792C">
        <w:rPr>
          <w:rtl/>
        </w:rPr>
        <w:t xml:space="preserve"> 447 (2014); </w:t>
      </w:r>
      <w:r w:rsidRPr="0057792C">
        <w:rPr>
          <w:rFonts w:hint="eastAsia"/>
          <w:rtl/>
        </w:rPr>
        <w:t>יאיר</w:t>
      </w:r>
      <w:r w:rsidRPr="0057792C">
        <w:rPr>
          <w:rtl/>
        </w:rPr>
        <w:t xml:space="preserve"> </w:t>
      </w:r>
      <w:r w:rsidRPr="0057792C">
        <w:rPr>
          <w:rFonts w:hint="eastAsia"/>
          <w:rtl/>
        </w:rPr>
        <w:t>לבנה</w:t>
      </w:r>
      <w:r w:rsidRPr="0057792C">
        <w:rPr>
          <w:rtl/>
        </w:rPr>
        <w:t xml:space="preserve"> "</w:t>
      </w:r>
      <w:r w:rsidRPr="0057792C">
        <w:rPr>
          <w:rFonts w:hint="eastAsia"/>
          <w:rtl/>
        </w:rPr>
        <w:t>הפרת</w:t>
      </w:r>
      <w:r w:rsidRPr="0057792C">
        <w:rPr>
          <w:rtl/>
        </w:rPr>
        <w:t xml:space="preserve"> </w:t>
      </w:r>
      <w:r w:rsidRPr="0057792C">
        <w:rPr>
          <w:rFonts w:hint="eastAsia"/>
          <w:rtl/>
        </w:rPr>
        <w:t>אמונים</w:t>
      </w:r>
      <w:r w:rsidRPr="0057792C">
        <w:rPr>
          <w:rtl/>
        </w:rPr>
        <w:t xml:space="preserve"> </w:t>
      </w:r>
      <w:r w:rsidRPr="0057792C">
        <w:rPr>
          <w:rFonts w:hint="eastAsia"/>
          <w:rtl/>
        </w:rPr>
        <w:t>של</w:t>
      </w:r>
      <w:r w:rsidRPr="0057792C">
        <w:rPr>
          <w:rtl/>
        </w:rPr>
        <w:t xml:space="preserve"> </w:t>
      </w:r>
      <w:r w:rsidRPr="0057792C">
        <w:rPr>
          <w:rFonts w:hint="eastAsia"/>
          <w:rtl/>
        </w:rPr>
        <w:t>עובד</w:t>
      </w:r>
      <w:r w:rsidRPr="0057792C">
        <w:rPr>
          <w:rtl/>
        </w:rPr>
        <w:t xml:space="preserve"> </w:t>
      </w:r>
      <w:r w:rsidRPr="0057792C">
        <w:rPr>
          <w:rFonts w:hint="eastAsia"/>
          <w:rtl/>
        </w:rPr>
        <w:t>הציבור</w:t>
      </w:r>
      <w:r w:rsidRPr="0057792C">
        <w:rPr>
          <w:rtl/>
        </w:rPr>
        <w:t xml:space="preserve">" </w:t>
      </w:r>
      <w:r w:rsidRPr="00890A84">
        <w:rPr>
          <w:rFonts w:ascii="Century" w:hAnsi="Century" w:cs="Miriam" w:hint="eastAsia"/>
          <w:b/>
          <w:spacing w:val="0"/>
          <w:szCs w:val="24"/>
          <w:rtl/>
        </w:rPr>
        <w:t>ספר</w:t>
      </w:r>
      <w:r w:rsidRPr="00890A84">
        <w:rPr>
          <w:rFonts w:ascii="Century" w:hAnsi="Century" w:cs="Miriam"/>
          <w:b/>
          <w:spacing w:val="0"/>
          <w:szCs w:val="24"/>
          <w:rtl/>
        </w:rPr>
        <w:t xml:space="preserve"> </w:t>
      </w:r>
      <w:r w:rsidRPr="00890A84">
        <w:rPr>
          <w:rFonts w:ascii="Century" w:hAnsi="Century" w:cs="Miriam" w:hint="eastAsia"/>
          <w:b/>
          <w:spacing w:val="0"/>
          <w:szCs w:val="24"/>
          <w:rtl/>
        </w:rPr>
        <w:t>אליהו</w:t>
      </w:r>
      <w:r w:rsidRPr="00890A84">
        <w:rPr>
          <w:rFonts w:ascii="Century" w:hAnsi="Century" w:cs="Miriam"/>
          <w:b/>
          <w:spacing w:val="0"/>
          <w:szCs w:val="24"/>
          <w:rtl/>
        </w:rPr>
        <w:t xml:space="preserve"> </w:t>
      </w:r>
      <w:r w:rsidRPr="00890A84">
        <w:rPr>
          <w:rFonts w:ascii="Century" w:hAnsi="Century" w:cs="Miriam" w:hint="eastAsia"/>
          <w:b/>
          <w:spacing w:val="0"/>
          <w:szCs w:val="24"/>
          <w:rtl/>
        </w:rPr>
        <w:t>מצא</w:t>
      </w:r>
      <w:r w:rsidRPr="00890A84">
        <w:rPr>
          <w:rtl/>
        </w:rPr>
        <w:t xml:space="preserve"> </w:t>
      </w:r>
      <w:r w:rsidRPr="0057792C">
        <w:rPr>
          <w:rtl/>
        </w:rPr>
        <w:t>565 (2015)).</w:t>
      </w:r>
    </w:p>
    <w:p w:rsidR="000F3C05" w:rsidRDefault="000F3C05" w:rsidP="000F3C05">
      <w:pPr>
        <w:pStyle w:val="af6"/>
        <w:rPr>
          <w:rtl/>
        </w:rPr>
      </w:pPr>
      <w:r>
        <w:rPr>
          <w:rtl/>
        </w:rPr>
        <w:tab/>
      </w:r>
      <w:r>
        <w:rPr>
          <w:rFonts w:hint="cs"/>
          <w:rtl/>
        </w:rPr>
        <w:t xml:space="preserve">החלת תזת הצבירה על העבירה של מרמה והפרת אמונים, באופן שבו ניתן יהיה "לצבור" התנהגויות שונות של נאשם ולאגדן יחד לצורך הרשעה בעבירה אחת </w:t>
      </w:r>
      <w:r>
        <w:rPr>
          <w:rtl/>
        </w:rPr>
        <w:t>–</w:t>
      </w:r>
      <w:r>
        <w:rPr>
          <w:rFonts w:hint="cs"/>
          <w:rtl/>
        </w:rPr>
        <w:t xml:space="preserve"> עומדת בסתירה מובהקת למגמת הפסיקה לתחום קו גבול ברור בין הדין הפלילי לדין המשמעתי </w:t>
      </w:r>
      <w:r>
        <w:rPr>
          <w:rFonts w:hint="cs"/>
          <w:rtl/>
        </w:rPr>
        <w:lastRenderedPageBreak/>
        <w:t>או לפסול מוסרי, באמצעות קביעת</w:t>
      </w:r>
      <w:r w:rsidRPr="00EC5464">
        <w:rPr>
          <w:rtl/>
        </w:rPr>
        <w:t xml:space="preserve"> </w:t>
      </w:r>
      <w:r>
        <w:rPr>
          <w:rFonts w:hint="cs"/>
          <w:rtl/>
        </w:rPr>
        <w:t>"</w:t>
      </w:r>
      <w:r w:rsidRPr="00EC5464">
        <w:rPr>
          <w:rFonts w:hint="eastAsia"/>
          <w:rtl/>
        </w:rPr>
        <w:t>מבחן</w:t>
      </w:r>
      <w:r w:rsidRPr="00EC5464">
        <w:rPr>
          <w:rtl/>
        </w:rPr>
        <w:t xml:space="preserve"> </w:t>
      </w:r>
      <w:r w:rsidRPr="00EC5464">
        <w:rPr>
          <w:rFonts w:hint="eastAsia"/>
          <w:rtl/>
        </w:rPr>
        <w:t>ברור</w:t>
      </w:r>
      <w:r w:rsidRPr="00EC5464">
        <w:rPr>
          <w:rtl/>
        </w:rPr>
        <w:t xml:space="preserve"> </w:t>
      </w:r>
      <w:r w:rsidRPr="00EC5464">
        <w:rPr>
          <w:rFonts w:hint="eastAsia"/>
          <w:rtl/>
        </w:rPr>
        <w:t>ומדויק</w:t>
      </w:r>
      <w:r w:rsidRPr="00EC5464">
        <w:rPr>
          <w:rtl/>
        </w:rPr>
        <w:t xml:space="preserve"> </w:t>
      </w:r>
      <w:r w:rsidRPr="00EC5464">
        <w:rPr>
          <w:rFonts w:hint="eastAsia"/>
          <w:rtl/>
        </w:rPr>
        <w:t>ככל</w:t>
      </w:r>
      <w:r w:rsidRPr="00EC5464">
        <w:rPr>
          <w:rtl/>
        </w:rPr>
        <w:t xml:space="preserve"> </w:t>
      </w:r>
      <w:r w:rsidRPr="00EC5464">
        <w:rPr>
          <w:rFonts w:hint="eastAsia"/>
          <w:rtl/>
        </w:rPr>
        <w:t>הניתן</w:t>
      </w:r>
      <w:r w:rsidRPr="00EC5464">
        <w:rPr>
          <w:rtl/>
        </w:rPr>
        <w:t xml:space="preserve"> </w:t>
      </w:r>
      <w:r w:rsidRPr="00EC5464">
        <w:rPr>
          <w:rFonts w:hint="eastAsia"/>
          <w:rtl/>
        </w:rPr>
        <w:t>ליסודותיה</w:t>
      </w:r>
      <w:r w:rsidRPr="00EC5464">
        <w:rPr>
          <w:rtl/>
        </w:rPr>
        <w:t xml:space="preserve"> </w:t>
      </w:r>
      <w:r w:rsidRPr="00EC5464">
        <w:rPr>
          <w:rFonts w:hint="eastAsia"/>
          <w:rtl/>
        </w:rPr>
        <w:t>של</w:t>
      </w:r>
      <w:r w:rsidRPr="00EC5464">
        <w:rPr>
          <w:rtl/>
        </w:rPr>
        <w:t xml:space="preserve"> </w:t>
      </w:r>
      <w:r w:rsidRPr="00EC5464">
        <w:rPr>
          <w:rFonts w:hint="eastAsia"/>
          <w:rtl/>
        </w:rPr>
        <w:t>העבירה</w:t>
      </w:r>
      <w:r w:rsidRPr="00EC5464">
        <w:rPr>
          <w:rtl/>
        </w:rPr>
        <w:t xml:space="preserve"> </w:t>
      </w:r>
      <w:r w:rsidRPr="00EC5464">
        <w:rPr>
          <w:rFonts w:hint="eastAsia"/>
          <w:rtl/>
        </w:rPr>
        <w:t>וליישומו</w:t>
      </w:r>
      <w:r w:rsidRPr="00EC5464">
        <w:rPr>
          <w:rtl/>
        </w:rPr>
        <w:t xml:space="preserve"> </w:t>
      </w:r>
      <w:r w:rsidRPr="00EC5464">
        <w:rPr>
          <w:rFonts w:hint="eastAsia"/>
          <w:rtl/>
        </w:rPr>
        <w:t>של</w:t>
      </w:r>
      <w:r w:rsidRPr="00EC5464">
        <w:rPr>
          <w:rtl/>
        </w:rPr>
        <w:t xml:space="preserve"> </w:t>
      </w:r>
      <w:r w:rsidRPr="00EC5464">
        <w:rPr>
          <w:rFonts w:hint="eastAsia"/>
          <w:rtl/>
        </w:rPr>
        <w:t>הדין</w:t>
      </w:r>
      <w:r w:rsidRPr="00EC5464">
        <w:rPr>
          <w:rtl/>
        </w:rPr>
        <w:t>"</w:t>
      </w:r>
      <w:r>
        <w:rPr>
          <w:rFonts w:hint="cs"/>
          <w:rtl/>
        </w:rPr>
        <w:t xml:space="preserve"> (</w:t>
      </w:r>
      <w:r w:rsidRPr="00895777">
        <w:rPr>
          <w:rFonts w:ascii="Century" w:hAnsi="Century" w:hint="cs"/>
          <w:sz w:val="22"/>
          <w:rtl/>
        </w:rPr>
        <w:t>עניין</w:t>
      </w:r>
      <w:r w:rsidRPr="00895777">
        <w:rPr>
          <w:rFonts w:ascii="Century" w:hAnsi="Century" w:cs="Miriam" w:hint="cs"/>
          <w:b/>
          <w:spacing w:val="0"/>
          <w:szCs w:val="24"/>
          <w:rtl/>
        </w:rPr>
        <w:t xml:space="preserve"> </w:t>
      </w:r>
      <w:r w:rsidRPr="00890A84">
        <w:rPr>
          <w:rFonts w:ascii="Century" w:hAnsi="Century" w:cs="Miriam" w:hint="cs"/>
          <w:b/>
          <w:spacing w:val="0"/>
          <w:szCs w:val="24"/>
          <w:rtl/>
        </w:rPr>
        <w:t>שבס</w:t>
      </w:r>
      <w:r>
        <w:rPr>
          <w:rFonts w:hint="cs"/>
          <w:rtl/>
        </w:rPr>
        <w:t>, בעמ' 404)</w:t>
      </w:r>
      <w:r w:rsidRPr="00EC5464">
        <w:rPr>
          <w:rtl/>
        </w:rPr>
        <w:t>.</w:t>
      </w:r>
      <w:r>
        <w:rPr>
          <w:rFonts w:hint="cs"/>
          <w:rtl/>
        </w:rPr>
        <w:t xml:space="preserve"> כך, מאחר שתזת הצבירה פותחת את השער לכניסתן של שלל התנהגויות, שאינן פליליות, כשהן לבדן, אל תוך המתחם הפלילי, ובכך פורצת את הסכר שנבנה סביב העבירה בעמל רב, ומרחיבה עד מאוד את גבולותיה. </w:t>
      </w:r>
    </w:p>
    <w:p w:rsidR="000F3C05" w:rsidRDefault="000F3C05" w:rsidP="000F3C05">
      <w:pPr>
        <w:pStyle w:val="af6"/>
        <w:rPr>
          <w:rtl/>
        </w:rPr>
      </w:pPr>
      <w:r>
        <w:rPr>
          <w:rtl/>
        </w:rPr>
        <w:tab/>
      </w:r>
      <w:r>
        <w:rPr>
          <w:rFonts w:hint="cs"/>
          <w:rtl/>
        </w:rPr>
        <w:t>בהקשר זה, איני מקבל את עמדת בית המשפט המחוזי, לפיה הטענה כי החלת תזת הצבירה על עבירה זו פוגעת בעקרון החוקיות דומה, כלשונו, ל"טענה כנגד חוקיותה של העבירה עצמה" (עמ' 86 לפסק דינו של בית המשפט המחוזי). כפי שהדגשתי ב</w:t>
      </w:r>
      <w:r>
        <w:rPr>
          <w:rFonts w:ascii="Century" w:hAnsi="Century" w:cs="Miriam" w:hint="cs"/>
          <w:b/>
          <w:spacing w:val="0"/>
          <w:szCs w:val="24"/>
          <w:rtl/>
        </w:rPr>
        <w:t>עניין</w:t>
      </w:r>
      <w:r>
        <w:rPr>
          <w:rFonts w:hint="cs"/>
          <w:rtl/>
        </w:rPr>
        <w:t xml:space="preserve"> </w:t>
      </w:r>
      <w:r w:rsidRPr="00484E6E">
        <w:rPr>
          <w:rFonts w:ascii="Century" w:hAnsi="Century" w:cs="Miriam" w:hint="cs"/>
          <w:b/>
          <w:spacing w:val="0"/>
          <w:szCs w:val="24"/>
          <w:rtl/>
        </w:rPr>
        <w:t>חסן</w:t>
      </w:r>
      <w:r>
        <w:rPr>
          <w:rFonts w:hint="cs"/>
          <w:rtl/>
        </w:rPr>
        <w:t xml:space="preserve">, על אף הקושי האינהרנטי הטמון בעבירת המרמה והפרת האמונים, בשל גבולותיה העמומים, </w:t>
      </w:r>
      <w:r w:rsidRPr="00DB42F9">
        <w:rPr>
          <w:rFonts w:hint="eastAsia"/>
          <w:rtl/>
        </w:rPr>
        <w:t>אין</w:t>
      </w:r>
      <w:r>
        <w:rPr>
          <w:rFonts w:hint="cs"/>
          <w:rtl/>
        </w:rPr>
        <w:t xml:space="preserve"> בכך</w:t>
      </w:r>
      <w:r w:rsidRPr="00DB42F9">
        <w:rPr>
          <w:rtl/>
        </w:rPr>
        <w:t xml:space="preserve"> </w:t>
      </w:r>
      <w:r w:rsidRPr="00DB42F9">
        <w:rPr>
          <w:rFonts w:hint="eastAsia"/>
          <w:rtl/>
        </w:rPr>
        <w:t>כדי</w:t>
      </w:r>
      <w:r w:rsidRPr="00DB42F9">
        <w:rPr>
          <w:rtl/>
        </w:rPr>
        <w:t xml:space="preserve"> </w:t>
      </w:r>
      <w:r>
        <w:rPr>
          <w:rFonts w:hint="cs"/>
          <w:rtl/>
        </w:rPr>
        <w:t>לייתר עבירה זו</w:t>
      </w:r>
      <w:r w:rsidRPr="00DB42F9">
        <w:rPr>
          <w:rtl/>
        </w:rPr>
        <w:t xml:space="preserve"> </w:t>
      </w:r>
      <w:r w:rsidRPr="00DB42F9">
        <w:rPr>
          <w:rFonts w:hint="eastAsia"/>
          <w:rtl/>
        </w:rPr>
        <w:t>מספר</w:t>
      </w:r>
      <w:r w:rsidRPr="00DB42F9">
        <w:rPr>
          <w:rtl/>
        </w:rPr>
        <w:t xml:space="preserve"> </w:t>
      </w:r>
      <w:r w:rsidRPr="00DB42F9">
        <w:rPr>
          <w:rFonts w:hint="eastAsia"/>
          <w:rtl/>
        </w:rPr>
        <w:t>החוקים</w:t>
      </w:r>
      <w:r>
        <w:rPr>
          <w:rFonts w:hint="cs"/>
          <w:rtl/>
        </w:rPr>
        <w:t>, בשל חשיבותה ו</w:t>
      </w:r>
      <w:r w:rsidRPr="00DB42F9">
        <w:rPr>
          <w:rFonts w:hint="eastAsia"/>
          <w:rtl/>
        </w:rPr>
        <w:t>תרומתה</w:t>
      </w:r>
      <w:r w:rsidRPr="00DB42F9">
        <w:rPr>
          <w:rtl/>
        </w:rPr>
        <w:t xml:space="preserve"> </w:t>
      </w:r>
      <w:r w:rsidRPr="00DB42F9">
        <w:rPr>
          <w:rFonts w:hint="eastAsia"/>
          <w:rtl/>
        </w:rPr>
        <w:t>למאבק</w:t>
      </w:r>
      <w:r w:rsidRPr="00DB42F9">
        <w:rPr>
          <w:rtl/>
        </w:rPr>
        <w:t xml:space="preserve"> </w:t>
      </w:r>
      <w:r w:rsidRPr="00DB42F9">
        <w:rPr>
          <w:rFonts w:hint="eastAsia"/>
          <w:rtl/>
        </w:rPr>
        <w:t>בשחיתות</w:t>
      </w:r>
      <w:r w:rsidRPr="00DB42F9">
        <w:rPr>
          <w:rtl/>
        </w:rPr>
        <w:t xml:space="preserve"> </w:t>
      </w:r>
      <w:r w:rsidRPr="00DB42F9">
        <w:rPr>
          <w:rFonts w:hint="eastAsia"/>
          <w:rtl/>
        </w:rPr>
        <w:t>השלטונית</w:t>
      </w:r>
      <w:r>
        <w:rPr>
          <w:rFonts w:hint="cs"/>
          <w:rtl/>
        </w:rPr>
        <w:t xml:space="preserve"> (שם, בפסקה 130). הפתרון יימצא אפוא בשמירת גבולותיה הברורים של העבירה, על פי המבחנים שהותוו בפסיקתו של בית משפט זה, תוך בחינה עובדתית של הנסיבות הנדונות בכל מקרה ומקרה. כך ייעשה שימוש מושכל בכלי העומד לרשויות אכיפת החוק בדמות העמדה לדין על פי עבירה זו, ולצד זאת, תישמר רמה הכרחית של ודאות מצד עובד הציבור המבקש לדעת מהן נורמות ההתנהגות המצופות ממנו. </w:t>
      </w:r>
    </w:p>
    <w:p w:rsidR="000F3C05" w:rsidRDefault="000F3C05" w:rsidP="000F3C05">
      <w:pPr>
        <w:pStyle w:val="a"/>
        <w:rPr>
          <w:rtl/>
        </w:rPr>
      </w:pPr>
      <w:r>
        <w:rPr>
          <w:rFonts w:hint="cs"/>
          <w:rtl/>
        </w:rPr>
        <w:t xml:space="preserve">ניתנת האמת להיאמר, עבירת המרמה והפרת האמונים אינה מנותקת לגמרי מבחינה כמותית של מעשה העבירה. למעשה, לפחות בכל הנוגע להימצאות במצב של ניגוד עניינים, יש חשיבות מהותית לעוצמת ניגוד העניינים ולמידת הפסול בו. במובן זה לא ניתן לומר כי אין כל משמעות להצטברות פעולות בניגוד עניינים מצד נאשם.  ואולם, התכלית היסודית של הדין הפלילי כולו </w:t>
      </w:r>
      <w:r>
        <w:rPr>
          <w:rtl/>
        </w:rPr>
        <w:t>–</w:t>
      </w:r>
      <w:r>
        <w:rPr>
          <w:rFonts w:hint="cs"/>
          <w:rtl/>
        </w:rPr>
        <w:t xml:space="preserve"> הכוונת התנהגות של פרטים </w:t>
      </w:r>
      <w:r>
        <w:rPr>
          <w:rtl/>
        </w:rPr>
        <w:t>–</w:t>
      </w:r>
      <w:r>
        <w:rPr>
          <w:rFonts w:hint="cs"/>
          <w:rtl/>
        </w:rPr>
        <w:t xml:space="preserve"> מחייבת שלא לאפשר לצבור את אותן פעולות, שאינן עולות כדי איסור פלילי כשהן עומדות לבדן, לכדי מעשה עבירה אחד בגינו ניתן להרשיע בפלילים.</w:t>
      </w:r>
    </w:p>
    <w:p w:rsidR="000F3C05" w:rsidRDefault="000F3C05" w:rsidP="00895777">
      <w:pPr>
        <w:pStyle w:val="af6"/>
        <w:rPr>
          <w:rtl/>
        </w:rPr>
      </w:pPr>
      <w:r>
        <w:rPr>
          <w:rtl/>
        </w:rPr>
        <w:tab/>
      </w:r>
      <w:r>
        <w:rPr>
          <w:rFonts w:hint="cs"/>
          <w:rtl/>
        </w:rPr>
        <w:t xml:space="preserve">כל פרשנות אחרת מעוררת </w:t>
      </w:r>
      <w:r w:rsidR="00895777">
        <w:rPr>
          <w:rFonts w:hint="cs"/>
          <w:rtl/>
        </w:rPr>
        <w:t>שאלות</w:t>
      </w:r>
      <w:r>
        <w:rPr>
          <w:rFonts w:hint="cs"/>
          <w:rtl/>
        </w:rPr>
        <w:t xml:space="preserve"> רבות שלא ניתן ליישבן בקלות. </w:t>
      </w:r>
      <w:r w:rsidRPr="000F65A0">
        <w:rPr>
          <w:rFonts w:hint="eastAsia"/>
          <w:rtl/>
        </w:rPr>
        <w:t>כיצד</w:t>
      </w:r>
      <w:r w:rsidRPr="000F65A0">
        <w:rPr>
          <w:rtl/>
        </w:rPr>
        <w:t xml:space="preserve"> </w:t>
      </w:r>
      <w:r w:rsidRPr="000F65A0">
        <w:rPr>
          <w:rFonts w:hint="eastAsia"/>
          <w:rtl/>
        </w:rPr>
        <w:t>יוכל</w:t>
      </w:r>
      <w:r w:rsidRPr="000F65A0">
        <w:rPr>
          <w:rtl/>
        </w:rPr>
        <w:t xml:space="preserve"> </w:t>
      </w:r>
      <w:r w:rsidRPr="000F65A0">
        <w:rPr>
          <w:rFonts w:hint="eastAsia"/>
          <w:rtl/>
        </w:rPr>
        <w:t>עובד</w:t>
      </w:r>
      <w:r w:rsidRPr="000F65A0">
        <w:rPr>
          <w:rtl/>
        </w:rPr>
        <w:t xml:space="preserve"> </w:t>
      </w:r>
      <w:r w:rsidRPr="000F65A0">
        <w:rPr>
          <w:rFonts w:hint="eastAsia"/>
          <w:rtl/>
        </w:rPr>
        <w:t>הציבור</w:t>
      </w:r>
      <w:r w:rsidRPr="000F65A0">
        <w:rPr>
          <w:rtl/>
        </w:rPr>
        <w:t xml:space="preserve"> </w:t>
      </w:r>
      <w:r w:rsidRPr="000F65A0">
        <w:rPr>
          <w:rFonts w:hint="eastAsia"/>
          <w:rtl/>
        </w:rPr>
        <w:t>לדעת</w:t>
      </w:r>
      <w:r w:rsidRPr="000F65A0">
        <w:rPr>
          <w:rtl/>
        </w:rPr>
        <w:t xml:space="preserve"> </w:t>
      </w:r>
      <w:r w:rsidRPr="000F65A0">
        <w:rPr>
          <w:rFonts w:hint="eastAsia"/>
          <w:rtl/>
        </w:rPr>
        <w:t>מתי</w:t>
      </w:r>
      <w:r w:rsidRPr="000F65A0">
        <w:rPr>
          <w:rtl/>
        </w:rPr>
        <w:t xml:space="preserve"> </w:t>
      </w:r>
      <w:r>
        <w:rPr>
          <w:rFonts w:hint="cs"/>
          <w:rtl/>
        </w:rPr>
        <w:t>ייחשב</w:t>
      </w:r>
      <w:r w:rsidRPr="000F65A0">
        <w:rPr>
          <w:rtl/>
        </w:rPr>
        <w:t xml:space="preserve"> </w:t>
      </w:r>
      <w:r w:rsidRPr="000F65A0">
        <w:rPr>
          <w:rFonts w:hint="eastAsia"/>
          <w:rtl/>
        </w:rPr>
        <w:t>מצבור</w:t>
      </w:r>
      <w:r w:rsidRPr="000F65A0">
        <w:rPr>
          <w:rtl/>
        </w:rPr>
        <w:t xml:space="preserve"> </w:t>
      </w:r>
      <w:r w:rsidRPr="000F65A0">
        <w:rPr>
          <w:rFonts w:hint="eastAsia"/>
          <w:rtl/>
        </w:rPr>
        <w:t>פעולותיו</w:t>
      </w:r>
      <w:r w:rsidRPr="000F65A0">
        <w:rPr>
          <w:rtl/>
        </w:rPr>
        <w:t xml:space="preserve"> </w:t>
      </w:r>
      <w:r w:rsidRPr="000F65A0">
        <w:rPr>
          <w:rFonts w:hint="eastAsia"/>
          <w:rtl/>
        </w:rPr>
        <w:t>כחוצות</w:t>
      </w:r>
      <w:r w:rsidRPr="000F65A0">
        <w:rPr>
          <w:rtl/>
        </w:rPr>
        <w:t xml:space="preserve"> </w:t>
      </w:r>
      <w:r w:rsidRPr="000F65A0">
        <w:rPr>
          <w:rFonts w:hint="eastAsia"/>
          <w:rtl/>
        </w:rPr>
        <w:t>את</w:t>
      </w:r>
      <w:r w:rsidRPr="000F65A0">
        <w:rPr>
          <w:rtl/>
        </w:rPr>
        <w:t xml:space="preserve"> </w:t>
      </w:r>
      <w:r>
        <w:rPr>
          <w:rFonts w:hint="cs"/>
          <w:rtl/>
        </w:rPr>
        <w:t>הרף</w:t>
      </w:r>
      <w:r w:rsidRPr="000F65A0">
        <w:rPr>
          <w:rtl/>
        </w:rPr>
        <w:t xml:space="preserve"> </w:t>
      </w:r>
      <w:r w:rsidRPr="000F65A0">
        <w:rPr>
          <w:rFonts w:hint="eastAsia"/>
          <w:rtl/>
        </w:rPr>
        <w:t>הפלילי</w:t>
      </w:r>
      <w:r w:rsidRPr="000F65A0">
        <w:rPr>
          <w:rtl/>
        </w:rPr>
        <w:t>?</w:t>
      </w:r>
      <w:r>
        <w:rPr>
          <w:rFonts w:hint="cs"/>
          <w:rtl/>
        </w:rPr>
        <w:t xml:space="preserve"> האם די בשתי פעולות? שלושה מעשים? האם ניתן "לצבור" רק פעולות המצויות באותו מדרג חומרה מבחינת עוצמתו של ניגוד העניינים בו נתון עובד הציבור, או שמשקלן המצטבר של שתי פעולות בניגוד עניינים בעוצמה נמוכה יהא שווה למשקלה של פעולה אחת בעוצמה בינונית? האם בחלוף פרק זמן מסוים "יתיישן" המעשה הראשון כך שלא ניתן יהיה לצרפו לזה הבא אחריו, או שמא לנצח תלויים ומשתרכים אותם מעשים כשובל אחר עובד </w:t>
      </w:r>
      <w:r>
        <w:rPr>
          <w:rFonts w:hint="cs"/>
          <w:rtl/>
        </w:rPr>
        <w:lastRenderedPageBreak/>
        <w:t>הציבור, ונזקפים לחובתו כמלאכי חבלה? שאלות אלו ואחרות דוגמתן חושפות את הבעייתיות הרבה ביישומה של תזת הצבירה הלכה למעשה.</w:t>
      </w:r>
    </w:p>
    <w:p w:rsidR="000F3C05" w:rsidRDefault="000F3C05" w:rsidP="000F3C05">
      <w:pPr>
        <w:pStyle w:val="a"/>
        <w:rPr>
          <w:rtl/>
        </w:rPr>
      </w:pPr>
      <w:r>
        <w:rPr>
          <w:rFonts w:hint="cs"/>
          <w:rtl/>
        </w:rPr>
        <w:t xml:space="preserve">שאלות אלו אינן תיאורטיות גרידא. נסיבות המקרה שלפנינו מדגימות היטב את הקשיים המתוארים. תזת הצבירה התבססה מלכתחילה על כתב האישום רחב ההיקף שהוגש נגד המבקש. ואולם, ממצאי העובדה שנקבעו על ידי בית משפט השלום מצמצמים את היריעה באופן משמעותי. </w:t>
      </w:r>
    </w:p>
    <w:p w:rsidR="000F3C05" w:rsidRDefault="000F3C05" w:rsidP="00895777">
      <w:pPr>
        <w:pStyle w:val="af6"/>
        <w:rPr>
          <w:rtl/>
        </w:rPr>
      </w:pPr>
      <w:r>
        <w:rPr>
          <w:rtl/>
        </w:rPr>
        <w:tab/>
      </w:r>
      <w:r>
        <w:rPr>
          <w:rFonts w:hint="cs"/>
          <w:rtl/>
        </w:rPr>
        <w:t xml:space="preserve">כך, בכתב האישום יוחסו למבקש 10 פעולות שלא התיישנו (ועוד אחרות שלגביהן חלפה תקופת ההתיישנות). לאחר שמיעת מסכת ארוכה של ראיות, נקבע כי המבקש ביצע 6 פעולות בהיותו מצוי במצב של ניגוד עניינים </w:t>
      </w:r>
      <w:r>
        <w:rPr>
          <w:rtl/>
        </w:rPr>
        <w:t>–</w:t>
      </w:r>
      <w:r>
        <w:rPr>
          <w:rFonts w:hint="cs"/>
          <w:rtl/>
        </w:rPr>
        <w:t xml:space="preserve"> </w:t>
      </w:r>
      <w:r w:rsidRPr="00895777">
        <w:rPr>
          <w:rFonts w:ascii="Century" w:hAnsi="Century" w:cs="Miriam" w:hint="cs"/>
          <w:b/>
          <w:spacing w:val="0"/>
          <w:sz w:val="22"/>
          <w:szCs w:val="24"/>
          <w:rtl/>
        </w:rPr>
        <w:t>שתי שיחות טלפון וארבע החלטות נקודתיות</w:t>
      </w:r>
      <w:r w:rsidRPr="00895777">
        <w:rPr>
          <w:rFonts w:hint="cs"/>
          <w:rtl/>
        </w:rPr>
        <w:t xml:space="preserve"> </w:t>
      </w:r>
      <w:r>
        <w:rPr>
          <w:rtl/>
        </w:rPr>
        <w:t>–</w:t>
      </w:r>
      <w:r>
        <w:rPr>
          <w:rFonts w:hint="cs"/>
          <w:rtl/>
        </w:rPr>
        <w:t xml:space="preserve"> וזאת על פני פרק זמן של כארבע שנים. עוד נקבע</w:t>
      </w:r>
      <w:r w:rsidR="00895777">
        <w:rPr>
          <w:rFonts w:hint="cs"/>
          <w:rtl/>
        </w:rPr>
        <w:t xml:space="preserve"> </w:t>
      </w:r>
      <w:r>
        <w:rPr>
          <w:rFonts w:hint="cs"/>
          <w:rtl/>
        </w:rPr>
        <w:t>כי ההחלטות שקיבל המבקש היו "ענייניות, מוצדקות, וכאלה המתיישבות עם המדיניות המוצהרת (והרוחבית) בה נקט, עם מדיניות המשטרה, ועם שיקולי צדק" (עמ' 144 להכרעת דינו של בית משפט השלום). המשיבה לא ביקשה את התערבותה של ערכאת הערעור בממצא עובדתי זה.</w:t>
      </w:r>
    </w:p>
    <w:p w:rsidR="000F3C05" w:rsidRDefault="000F3C05" w:rsidP="000F3C05">
      <w:pPr>
        <w:pStyle w:val="af6"/>
        <w:rPr>
          <w:rtl/>
        </w:rPr>
      </w:pPr>
      <w:r>
        <w:rPr>
          <w:rtl/>
        </w:rPr>
        <w:tab/>
      </w:r>
      <w:r>
        <w:rPr>
          <w:rFonts w:hint="cs"/>
          <w:rtl/>
        </w:rPr>
        <w:t>ועוד, בכתב האישום ביקשה המשיבה לייחס למבקש גם "</w:t>
      </w:r>
      <w:proofErr w:type="spellStart"/>
      <w:r>
        <w:rPr>
          <w:rFonts w:hint="cs"/>
          <w:rtl/>
        </w:rPr>
        <w:t>סטיה</w:t>
      </w:r>
      <w:proofErr w:type="spellEnd"/>
      <w:r>
        <w:rPr>
          <w:rFonts w:hint="cs"/>
          <w:rtl/>
        </w:rPr>
        <w:t xml:space="preserve"> מן השורה" (בפרשה השני</w:t>
      </w:r>
      <w:r w:rsidR="00895777">
        <w:rPr>
          <w:rFonts w:hint="cs"/>
          <w:rtl/>
        </w:rPr>
        <w:t>י</w:t>
      </w:r>
      <w:r>
        <w:rPr>
          <w:rFonts w:hint="cs"/>
          <w:rtl/>
        </w:rPr>
        <w:t xml:space="preserve">ה ובפרשה החמישית), אך בית המשפט דחה עמדה זו. </w:t>
      </w:r>
    </w:p>
    <w:p w:rsidR="000F3C05" w:rsidRDefault="000F3C05" w:rsidP="00DB4514">
      <w:pPr>
        <w:pStyle w:val="af6"/>
        <w:rPr>
          <w:rtl/>
        </w:rPr>
      </w:pPr>
      <w:r>
        <w:rPr>
          <w:rtl/>
        </w:rPr>
        <w:tab/>
      </w:r>
      <w:r>
        <w:rPr>
          <w:rFonts w:hint="cs"/>
          <w:rtl/>
        </w:rPr>
        <w:t xml:space="preserve">יתר על כן, בגדר כתב האישום המשיבה טענה לקיומו של "פן מחמיר נוסף" בהתנהגותו של המבקש, שביטויו נמצא במעמדו ואופי תפקידיו במערכת ההיררכית המשטרתית, כמו גם בכך שעל פי הנטען הניע המבקש שוטרים וקצינים אחרים, חלקם כפופים לו, לפעול לטובת השוטרות </w:t>
      </w:r>
      <w:proofErr w:type="spellStart"/>
      <w:r>
        <w:rPr>
          <w:rFonts w:hint="cs"/>
          <w:rtl/>
        </w:rPr>
        <w:t>עימן</w:t>
      </w:r>
      <w:proofErr w:type="spellEnd"/>
      <w:r>
        <w:rPr>
          <w:rFonts w:hint="cs"/>
          <w:rtl/>
        </w:rPr>
        <w:t xml:space="preserve"> קיים קשר מיני (סעיפים </w:t>
      </w:r>
      <w:r w:rsidR="00DB4514">
        <w:rPr>
          <w:rFonts w:hint="cs"/>
          <w:rtl/>
        </w:rPr>
        <w:t>11</w:t>
      </w:r>
      <w:r w:rsidR="00DB4514">
        <w:rPr>
          <w:rtl/>
        </w:rPr>
        <w:t>–</w:t>
      </w:r>
      <w:r w:rsidR="00DB4514">
        <w:rPr>
          <w:rFonts w:hint="cs"/>
          <w:rtl/>
        </w:rPr>
        <w:t xml:space="preserve">18 </w:t>
      </w:r>
      <w:r>
        <w:rPr>
          <w:rFonts w:hint="cs"/>
          <w:rtl/>
        </w:rPr>
        <w:t xml:space="preserve">לכתב האישום). אך גם טענה זו נדחתה על ידי בית משפט השלום, אשר קבע כי יסוד זה לא הוכח. </w:t>
      </w:r>
    </w:p>
    <w:p w:rsidR="000F3C05" w:rsidRDefault="000F3C05" w:rsidP="00B45CD7">
      <w:pPr>
        <w:pStyle w:val="af6"/>
        <w:rPr>
          <w:rtl/>
        </w:rPr>
      </w:pPr>
      <w:r>
        <w:rPr>
          <w:rFonts w:hint="cs"/>
          <w:rtl/>
        </w:rPr>
        <w:t xml:space="preserve">לבסוף, בעוד שבכתב האישום נטען כי המבקש היה מצוי כל העת בניגוד עניינים מובהק וחריף בעוצמה גבוהה (סעיפים </w:t>
      </w:r>
      <w:r w:rsidR="00DB4514">
        <w:rPr>
          <w:rFonts w:hint="cs"/>
          <w:rtl/>
        </w:rPr>
        <w:t>7</w:t>
      </w:r>
      <w:r w:rsidR="00DB4514">
        <w:rPr>
          <w:rtl/>
        </w:rPr>
        <w:t>–</w:t>
      </w:r>
      <w:r w:rsidR="00DB4514">
        <w:rPr>
          <w:rFonts w:hint="cs"/>
          <w:rtl/>
        </w:rPr>
        <w:t>8</w:t>
      </w:r>
      <w:r>
        <w:rPr>
          <w:rFonts w:hint="cs"/>
          <w:rtl/>
        </w:rPr>
        <w:t xml:space="preserve"> לכתב האישום), הרי שבית משפט השלום קבע כי בכל ההקשרים דובר בניגוד עניינים בעוצמה נמוכה מאוד, הרחוקה מרחק ניכר מאוד מהמתחם הפלילי. קביעות אלו נהפכו אמנם על פיהן בבית המשפט המחוזי, אשר מצא להרשיע את המבקש בעבירה של מרמה והפרת אמונים בשל עצם הקשרים המיניים בהסכמה עם שוטרות זוטרות, הכפופות לו במידה זו או אחרת. ואולם, אלמלא הייתה מתקבלת טענת המשיבה לפיה התנהגות זו של המבקש מקיימת כשלעצמה את יסודות </w:t>
      </w:r>
      <w:r>
        <w:rPr>
          <w:rFonts w:hint="cs"/>
          <w:rtl/>
        </w:rPr>
        <w:lastRenderedPageBreak/>
        <w:t xml:space="preserve">העבירה של מרמה והפרת אמונים, </w:t>
      </w:r>
      <w:r w:rsidR="00B45CD7">
        <w:rPr>
          <w:rFonts w:hint="cs"/>
          <w:rtl/>
        </w:rPr>
        <w:t>בשל תזת הצבירה, אני סבור כי</w:t>
      </w:r>
      <w:r>
        <w:rPr>
          <w:rFonts w:hint="cs"/>
          <w:rtl/>
        </w:rPr>
        <w:t xml:space="preserve"> </w:t>
      </w:r>
      <w:r w:rsidR="00B45CD7">
        <w:rPr>
          <w:rFonts w:hint="cs"/>
          <w:rtl/>
        </w:rPr>
        <w:t xml:space="preserve">לא </w:t>
      </w:r>
      <w:r>
        <w:rPr>
          <w:rFonts w:hint="cs"/>
          <w:rtl/>
        </w:rPr>
        <w:t xml:space="preserve">ניתן היה להרשיעו בה לאחר שטענות המאשימה עברו במסננת הראייתית, ולא נותר מהן </w:t>
      </w:r>
      <w:r w:rsidR="00B45CD7">
        <w:rPr>
          <w:rFonts w:hint="cs"/>
          <w:rtl/>
        </w:rPr>
        <w:t xml:space="preserve">למעשה </w:t>
      </w:r>
      <w:r>
        <w:rPr>
          <w:rFonts w:hint="cs"/>
          <w:rtl/>
        </w:rPr>
        <w:t>אלא מצאי דל בהרבה מכפי הנטען.</w:t>
      </w:r>
    </w:p>
    <w:p w:rsidR="000F3C05" w:rsidRDefault="000F3C05" w:rsidP="000F3C05">
      <w:pPr>
        <w:pStyle w:val="af6"/>
        <w:rPr>
          <w:rtl/>
        </w:rPr>
      </w:pPr>
      <w:r>
        <w:rPr>
          <w:rtl/>
        </w:rPr>
        <w:tab/>
      </w:r>
      <w:r>
        <w:rPr>
          <w:rFonts w:hint="cs"/>
          <w:rtl/>
        </w:rPr>
        <w:t xml:space="preserve">לאור צמצומה המשמעותי של המסכת העובדתית שהוכחה, מצאתי טעם רב במסקנתו של בית משפט השלום, לפיה "גם אם נניח כי ניתן היה לאמץ את התזה על בסיס עובדות כתב [ה]אישום, הרי כעת </w:t>
      </w:r>
      <w:r>
        <w:rPr>
          <w:rtl/>
        </w:rPr>
        <w:t>–</w:t>
      </w:r>
      <w:r>
        <w:rPr>
          <w:rFonts w:hint="cs"/>
          <w:rtl/>
        </w:rPr>
        <w:t xml:space="preserve"> משהובררו הפערים המשמעותיים בין הנטען למוכח, ברור כי קיים קושי ממשי בהחלת הדין הפלילי על אסופת פעולות בניגוד עניינים מהסוג שנקבע בהכרעת הדין" (עמ' 144 להכרעת דינו של בית משפט השלום).</w:t>
      </w:r>
    </w:p>
    <w:p w:rsidR="000F3C05" w:rsidRDefault="000F3C05" w:rsidP="00B45CD7">
      <w:pPr>
        <w:pStyle w:val="a"/>
        <w:rPr>
          <w:rtl/>
        </w:rPr>
      </w:pPr>
      <w:r>
        <w:rPr>
          <w:rFonts w:hint="cs"/>
          <w:rtl/>
        </w:rPr>
        <w:t xml:space="preserve">ניתן להוסיף ולהקשות, האם אפשר היה להרשיע את המבקש בעבירה אחת של מרמה והפרת אמונים, לו היה נקבע כי ביצע רק 4 פעולות בניגוד עניינים, או אף 2 פעולות בלבד? מהו קו הגבול ההופך מספר פעולות ל"צבר" פעולות כך שניתן יהיה ליישם את תזת הצבירה? האם חל בנסיבות העניין הכלל שלימדונו חז"ל, מיעוט רבים </w:t>
      </w:r>
      <w:r>
        <w:rPr>
          <w:rtl/>
        </w:rPr>
        <w:t>–</w:t>
      </w:r>
      <w:r>
        <w:rPr>
          <w:rFonts w:hint="cs"/>
          <w:rtl/>
        </w:rPr>
        <w:t xml:space="preserve"> שניים? האם נדרש כי יוכח שנאשם ביצע את כל הפעולות במצב של ניגוד עניינים שיוחסו לו בכתב האישום, או די לה לתביעה להוכיח מחצית מהן בלבד כדי לעמוד ברף ההוכחה הנדרש להרשעת הנאשם? שאלות אלו, שאינן שאלות בעלמא, אלא מתעוררות במלוא העוצמה בעניינו של המבקש דנן, ממחישות לטעמי היטב את הקושי באימוץ תזת הצבירה ויישומה בשדה המשפט הפלילי.</w:t>
      </w:r>
    </w:p>
    <w:p w:rsidR="000F3C05" w:rsidRDefault="000F3C05" w:rsidP="000F3C05">
      <w:pPr>
        <w:pStyle w:val="a"/>
        <w:rPr>
          <w:rtl/>
        </w:rPr>
      </w:pPr>
      <w:r>
        <w:rPr>
          <w:rFonts w:hint="cs"/>
          <w:rtl/>
        </w:rPr>
        <w:t xml:space="preserve">קושי נוסף טמון בשימוש בתזת הצבירה, והוא </w:t>
      </w:r>
      <w:r>
        <w:rPr>
          <w:rtl/>
        </w:rPr>
        <w:t>–</w:t>
      </w:r>
      <w:r>
        <w:rPr>
          <w:rFonts w:hint="cs"/>
          <w:rtl/>
        </w:rPr>
        <w:t xml:space="preserve"> כי זו תביא את בית המשפט להסתפק בתמונה </w:t>
      </w:r>
      <w:r w:rsidRPr="00B45CD7">
        <w:rPr>
          <w:rFonts w:ascii="Century" w:hAnsi="Century" w:cs="Miriam" w:hint="cs"/>
          <w:b/>
          <w:spacing w:val="0"/>
          <w:sz w:val="22"/>
          <w:szCs w:val="24"/>
          <w:rtl/>
        </w:rPr>
        <w:t>הכוללנית</w:t>
      </w:r>
      <w:r w:rsidRPr="00B45CD7">
        <w:rPr>
          <w:rFonts w:hint="cs"/>
          <w:rtl/>
        </w:rPr>
        <w:t xml:space="preserve"> </w:t>
      </w:r>
      <w:r>
        <w:rPr>
          <w:rFonts w:hint="cs"/>
          <w:rtl/>
        </w:rPr>
        <w:t>של דפוס התנהגות, תוך מבט ממעוף הציפור על אותה התנהגות, מבלי לרדת לפרטים ולבחון בזכוכית מגדלת את חלקי הפאזל השונים המרכיבים את אותה תמונה. ב</w:t>
      </w:r>
      <w:r>
        <w:rPr>
          <w:rFonts w:ascii="Century" w:hAnsi="Century" w:cs="Miriam" w:hint="cs"/>
          <w:b/>
          <w:spacing w:val="0"/>
          <w:szCs w:val="24"/>
          <w:rtl/>
        </w:rPr>
        <w:t>עניין</w:t>
      </w:r>
      <w:r w:rsidRPr="007C6409">
        <w:rPr>
          <w:rFonts w:ascii="Century" w:hAnsi="Century" w:cs="Miriam" w:hint="cs"/>
          <w:b/>
          <w:spacing w:val="0"/>
          <w:szCs w:val="24"/>
          <w:rtl/>
        </w:rPr>
        <w:t xml:space="preserve"> חסן </w:t>
      </w:r>
      <w:r>
        <w:rPr>
          <w:rFonts w:hint="cs"/>
          <w:rtl/>
        </w:rPr>
        <w:t xml:space="preserve">הדגשתי את מושכלות היסוד, לפיהן </w:t>
      </w:r>
      <w:r>
        <w:rPr>
          <w:rtl/>
        </w:rPr>
        <w:t>–</w:t>
      </w:r>
      <w:r>
        <w:rPr>
          <w:rFonts w:hint="cs"/>
          <w:rtl/>
        </w:rPr>
        <w:t xml:space="preserve"> </w:t>
      </w:r>
    </w:p>
    <w:p w:rsidR="000F3C05" w:rsidRDefault="000F3C05" w:rsidP="000F3C05">
      <w:pPr>
        <w:pStyle w:val="af2"/>
        <w:rPr>
          <w:rtl/>
        </w:rPr>
      </w:pPr>
      <w:r>
        <w:rPr>
          <w:rFonts w:hint="cs"/>
          <w:rtl/>
        </w:rPr>
        <w:t>"</w:t>
      </w:r>
      <w:r>
        <w:rPr>
          <w:rFonts w:hint="eastAsia"/>
          <w:rtl/>
        </w:rPr>
        <w:t>מעבר</w:t>
      </w:r>
      <w:r>
        <w:rPr>
          <w:rtl/>
        </w:rPr>
        <w:t xml:space="preserve"> </w:t>
      </w:r>
      <w:r>
        <w:rPr>
          <w:rFonts w:hint="eastAsia"/>
          <w:rtl/>
        </w:rPr>
        <w:t>למבחנים</w:t>
      </w:r>
      <w:r>
        <w:rPr>
          <w:rtl/>
        </w:rPr>
        <w:t xml:space="preserve"> </w:t>
      </w:r>
      <w:r>
        <w:rPr>
          <w:rFonts w:hint="eastAsia"/>
          <w:rtl/>
        </w:rPr>
        <w:t>המשפטיים</w:t>
      </w:r>
      <w:r>
        <w:rPr>
          <w:rtl/>
        </w:rPr>
        <w:t xml:space="preserve"> </w:t>
      </w:r>
      <w:r>
        <w:rPr>
          <w:rFonts w:hint="eastAsia"/>
          <w:rtl/>
        </w:rPr>
        <w:t>המנחים</w:t>
      </w:r>
      <w:r>
        <w:rPr>
          <w:rtl/>
        </w:rPr>
        <w:t xml:space="preserve"> </w:t>
      </w:r>
      <w:r>
        <w:rPr>
          <w:rFonts w:hint="eastAsia"/>
          <w:rtl/>
        </w:rPr>
        <w:t>שנקבעו</w:t>
      </w:r>
      <w:r>
        <w:rPr>
          <w:rtl/>
        </w:rPr>
        <w:t xml:space="preserve"> </w:t>
      </w:r>
      <w:r>
        <w:rPr>
          <w:rFonts w:hint="eastAsia"/>
          <w:rtl/>
        </w:rPr>
        <w:t>על</w:t>
      </w:r>
      <w:r>
        <w:rPr>
          <w:rtl/>
        </w:rPr>
        <w:t xml:space="preserve"> </w:t>
      </w:r>
      <w:r>
        <w:rPr>
          <w:rFonts w:hint="eastAsia"/>
          <w:rtl/>
        </w:rPr>
        <w:t>ידי</w:t>
      </w:r>
      <w:r>
        <w:rPr>
          <w:rtl/>
        </w:rPr>
        <w:t xml:space="preserve"> </w:t>
      </w:r>
      <w:r>
        <w:rPr>
          <w:rFonts w:hint="eastAsia"/>
          <w:rtl/>
        </w:rPr>
        <w:t>בית</w:t>
      </w:r>
      <w:r>
        <w:rPr>
          <w:rtl/>
        </w:rPr>
        <w:t xml:space="preserve"> </w:t>
      </w:r>
      <w:r>
        <w:rPr>
          <w:rFonts w:hint="eastAsia"/>
          <w:rtl/>
        </w:rPr>
        <w:t>משפט</w:t>
      </w:r>
      <w:r>
        <w:rPr>
          <w:rtl/>
        </w:rPr>
        <w:t xml:space="preserve"> </w:t>
      </w:r>
      <w:r>
        <w:rPr>
          <w:rFonts w:hint="eastAsia"/>
          <w:rtl/>
        </w:rPr>
        <w:t>זה</w:t>
      </w:r>
      <w:r>
        <w:rPr>
          <w:rtl/>
        </w:rPr>
        <w:t xml:space="preserve"> </w:t>
      </w:r>
      <w:r>
        <w:rPr>
          <w:rFonts w:hint="eastAsia"/>
          <w:rtl/>
        </w:rPr>
        <w:t>ב</w:t>
      </w:r>
      <w:r w:rsidRPr="00671369">
        <w:rPr>
          <w:rFonts w:ascii="Century" w:hAnsi="Century" w:cs="Miriam" w:hint="eastAsia"/>
          <w:b/>
          <w:spacing w:val="0"/>
          <w:szCs w:val="24"/>
          <w:rtl/>
        </w:rPr>
        <w:t>הלכת</w:t>
      </w:r>
      <w:r w:rsidRPr="00671369">
        <w:rPr>
          <w:rFonts w:ascii="Century" w:hAnsi="Century" w:cs="Miriam"/>
          <w:b/>
          <w:spacing w:val="0"/>
          <w:szCs w:val="24"/>
          <w:rtl/>
        </w:rPr>
        <w:t xml:space="preserve"> </w:t>
      </w:r>
      <w:r w:rsidRPr="00671369">
        <w:rPr>
          <w:rFonts w:ascii="Century" w:hAnsi="Century" w:cs="Miriam" w:hint="eastAsia"/>
          <w:b/>
          <w:spacing w:val="0"/>
          <w:szCs w:val="24"/>
          <w:rtl/>
        </w:rPr>
        <w:t>שבס</w:t>
      </w:r>
      <w:r>
        <w:rPr>
          <w:rtl/>
        </w:rPr>
        <w:t xml:space="preserve">, </w:t>
      </w:r>
      <w:r>
        <w:rPr>
          <w:rFonts w:hint="eastAsia"/>
          <w:rtl/>
        </w:rPr>
        <w:t>המפתח</w:t>
      </w:r>
      <w:r>
        <w:rPr>
          <w:rtl/>
        </w:rPr>
        <w:t xml:space="preserve"> </w:t>
      </w:r>
      <w:r>
        <w:rPr>
          <w:rFonts w:hint="eastAsia"/>
          <w:rtl/>
        </w:rPr>
        <w:t>להכרעה</w:t>
      </w:r>
      <w:r>
        <w:rPr>
          <w:rtl/>
        </w:rPr>
        <w:t xml:space="preserve"> </w:t>
      </w:r>
      <w:r>
        <w:rPr>
          <w:rFonts w:hint="eastAsia"/>
          <w:rtl/>
        </w:rPr>
        <w:t>בשאלת</w:t>
      </w:r>
      <w:r>
        <w:rPr>
          <w:rtl/>
        </w:rPr>
        <w:t xml:space="preserve"> </w:t>
      </w:r>
      <w:r>
        <w:rPr>
          <w:rFonts w:hint="eastAsia"/>
          <w:rtl/>
        </w:rPr>
        <w:t>התקיימות</w:t>
      </w:r>
      <w:r>
        <w:rPr>
          <w:rtl/>
        </w:rPr>
        <w:t xml:space="preserve"> </w:t>
      </w:r>
      <w:r>
        <w:rPr>
          <w:rFonts w:hint="eastAsia"/>
          <w:rtl/>
        </w:rPr>
        <w:t>יסודות</w:t>
      </w:r>
      <w:r>
        <w:rPr>
          <w:rtl/>
        </w:rPr>
        <w:t xml:space="preserve"> </w:t>
      </w:r>
      <w:r>
        <w:rPr>
          <w:rFonts w:hint="eastAsia"/>
          <w:rtl/>
        </w:rPr>
        <w:t>העבירה</w:t>
      </w:r>
      <w:r>
        <w:rPr>
          <w:rtl/>
        </w:rPr>
        <w:t xml:space="preserve"> </w:t>
      </w:r>
      <w:r>
        <w:rPr>
          <w:rFonts w:hint="eastAsia"/>
          <w:rtl/>
        </w:rPr>
        <w:t>טמון</w:t>
      </w:r>
      <w:r>
        <w:rPr>
          <w:rtl/>
        </w:rPr>
        <w:t xml:space="preserve"> </w:t>
      </w:r>
      <w:r>
        <w:rPr>
          <w:rFonts w:hint="eastAsia"/>
          <w:rtl/>
        </w:rPr>
        <w:t>בסופו</w:t>
      </w:r>
      <w:r>
        <w:rPr>
          <w:rtl/>
        </w:rPr>
        <w:t xml:space="preserve"> </w:t>
      </w:r>
      <w:r>
        <w:rPr>
          <w:rFonts w:hint="eastAsia"/>
          <w:rtl/>
        </w:rPr>
        <w:t>של</w:t>
      </w:r>
      <w:r>
        <w:rPr>
          <w:rtl/>
        </w:rPr>
        <w:t xml:space="preserve"> </w:t>
      </w:r>
      <w:r>
        <w:rPr>
          <w:rFonts w:hint="eastAsia"/>
          <w:rtl/>
        </w:rPr>
        <w:t>דבר</w:t>
      </w:r>
      <w:r>
        <w:rPr>
          <w:rtl/>
        </w:rPr>
        <w:t xml:space="preserve">, </w:t>
      </w:r>
      <w:r>
        <w:rPr>
          <w:rFonts w:hint="eastAsia"/>
          <w:rtl/>
        </w:rPr>
        <w:t>כבכל</w:t>
      </w:r>
      <w:r>
        <w:rPr>
          <w:rtl/>
        </w:rPr>
        <w:t xml:space="preserve"> </w:t>
      </w:r>
      <w:r>
        <w:rPr>
          <w:rFonts w:hint="eastAsia"/>
          <w:rtl/>
        </w:rPr>
        <w:t>תיק</w:t>
      </w:r>
      <w:r>
        <w:rPr>
          <w:rtl/>
        </w:rPr>
        <w:t xml:space="preserve"> </w:t>
      </w:r>
      <w:r>
        <w:rPr>
          <w:rFonts w:hint="eastAsia"/>
          <w:rtl/>
        </w:rPr>
        <w:t>פלילי</w:t>
      </w:r>
      <w:r>
        <w:rPr>
          <w:rtl/>
        </w:rPr>
        <w:t xml:space="preserve">, </w:t>
      </w:r>
      <w:r>
        <w:rPr>
          <w:rFonts w:hint="eastAsia"/>
          <w:rtl/>
        </w:rPr>
        <w:t>במסכת</w:t>
      </w:r>
      <w:r>
        <w:rPr>
          <w:rtl/>
        </w:rPr>
        <w:t xml:space="preserve"> </w:t>
      </w:r>
      <w:r>
        <w:rPr>
          <w:rFonts w:hint="eastAsia"/>
          <w:rtl/>
        </w:rPr>
        <w:t>הראייתית</w:t>
      </w:r>
      <w:r>
        <w:rPr>
          <w:rtl/>
        </w:rPr>
        <w:t xml:space="preserve"> </w:t>
      </w:r>
      <w:r>
        <w:rPr>
          <w:rFonts w:hint="eastAsia"/>
          <w:rtl/>
        </w:rPr>
        <w:t>שהוצגה</w:t>
      </w:r>
      <w:r>
        <w:rPr>
          <w:rtl/>
        </w:rPr>
        <w:t xml:space="preserve"> </w:t>
      </w:r>
      <w:r>
        <w:rPr>
          <w:rFonts w:hint="eastAsia"/>
          <w:rtl/>
        </w:rPr>
        <w:t>בבית</w:t>
      </w:r>
      <w:r>
        <w:rPr>
          <w:rtl/>
        </w:rPr>
        <w:t xml:space="preserve"> </w:t>
      </w:r>
      <w:r>
        <w:rPr>
          <w:rFonts w:hint="eastAsia"/>
          <w:rtl/>
        </w:rPr>
        <w:t>המשפט</w:t>
      </w:r>
      <w:r>
        <w:rPr>
          <w:rtl/>
        </w:rPr>
        <w:t xml:space="preserve">. </w:t>
      </w:r>
      <w:r>
        <w:rPr>
          <w:rFonts w:hint="eastAsia"/>
          <w:rtl/>
        </w:rPr>
        <w:t>נאמר</w:t>
      </w:r>
      <w:r>
        <w:rPr>
          <w:rtl/>
        </w:rPr>
        <w:t xml:space="preserve"> </w:t>
      </w:r>
      <w:r>
        <w:rPr>
          <w:rFonts w:hint="eastAsia"/>
          <w:rtl/>
        </w:rPr>
        <w:t>לא</w:t>
      </w:r>
      <w:r>
        <w:rPr>
          <w:rtl/>
        </w:rPr>
        <w:t xml:space="preserve"> </w:t>
      </w:r>
      <w:r>
        <w:rPr>
          <w:rFonts w:hint="eastAsia"/>
          <w:rtl/>
        </w:rPr>
        <w:t>אחת</w:t>
      </w:r>
      <w:r>
        <w:rPr>
          <w:rtl/>
        </w:rPr>
        <w:t xml:space="preserve">, </w:t>
      </w:r>
      <w:r>
        <w:rPr>
          <w:rFonts w:hint="eastAsia"/>
          <w:rtl/>
        </w:rPr>
        <w:t>כי</w:t>
      </w:r>
      <w:r>
        <w:rPr>
          <w:rtl/>
        </w:rPr>
        <w:t xml:space="preserve"> </w:t>
      </w:r>
      <w:r>
        <w:rPr>
          <w:rFonts w:hint="eastAsia"/>
          <w:rtl/>
        </w:rPr>
        <w:t>אין</w:t>
      </w:r>
      <w:r>
        <w:rPr>
          <w:rtl/>
        </w:rPr>
        <w:t xml:space="preserve"> </w:t>
      </w:r>
      <w:r>
        <w:rPr>
          <w:rFonts w:hint="eastAsia"/>
          <w:rtl/>
        </w:rPr>
        <w:t>לו</w:t>
      </w:r>
      <w:r>
        <w:rPr>
          <w:rtl/>
        </w:rPr>
        <w:t xml:space="preserve"> </w:t>
      </w:r>
      <w:r>
        <w:rPr>
          <w:rFonts w:hint="eastAsia"/>
          <w:rtl/>
        </w:rPr>
        <w:t>לדיין</w:t>
      </w:r>
      <w:r>
        <w:rPr>
          <w:rtl/>
        </w:rPr>
        <w:t xml:space="preserve"> </w:t>
      </w:r>
      <w:r>
        <w:rPr>
          <w:rFonts w:hint="eastAsia"/>
          <w:rtl/>
        </w:rPr>
        <w:t>אלא</w:t>
      </w:r>
      <w:r>
        <w:rPr>
          <w:rtl/>
        </w:rPr>
        <w:t xml:space="preserve"> </w:t>
      </w:r>
      <w:r>
        <w:rPr>
          <w:rFonts w:hint="eastAsia"/>
          <w:rtl/>
        </w:rPr>
        <w:t>מה</w:t>
      </w:r>
      <w:r>
        <w:rPr>
          <w:rtl/>
        </w:rPr>
        <w:t xml:space="preserve"> </w:t>
      </w:r>
      <w:r>
        <w:rPr>
          <w:rFonts w:hint="eastAsia"/>
          <w:rtl/>
        </w:rPr>
        <w:t>שעיניו</w:t>
      </w:r>
      <w:r>
        <w:rPr>
          <w:rtl/>
        </w:rPr>
        <w:t xml:space="preserve"> </w:t>
      </w:r>
      <w:r>
        <w:rPr>
          <w:rFonts w:hint="eastAsia"/>
          <w:rtl/>
        </w:rPr>
        <w:t>רואות</w:t>
      </w:r>
      <w:r>
        <w:rPr>
          <w:rtl/>
        </w:rPr>
        <w:t xml:space="preserve">; </w:t>
      </w:r>
      <w:r>
        <w:rPr>
          <w:rFonts w:hint="eastAsia"/>
          <w:rtl/>
        </w:rPr>
        <w:t>ועליו</w:t>
      </w:r>
      <w:r>
        <w:rPr>
          <w:rtl/>
        </w:rPr>
        <w:t xml:space="preserve"> </w:t>
      </w:r>
      <w:r>
        <w:rPr>
          <w:rFonts w:hint="eastAsia"/>
          <w:rtl/>
        </w:rPr>
        <w:t>להסיק</w:t>
      </w:r>
      <w:r>
        <w:rPr>
          <w:rtl/>
        </w:rPr>
        <w:t xml:space="preserve"> </w:t>
      </w:r>
      <w:r>
        <w:rPr>
          <w:rFonts w:hint="eastAsia"/>
          <w:rtl/>
        </w:rPr>
        <w:t>את</w:t>
      </w:r>
      <w:r>
        <w:rPr>
          <w:rtl/>
        </w:rPr>
        <w:t xml:space="preserve"> </w:t>
      </w:r>
      <w:r>
        <w:rPr>
          <w:rFonts w:hint="eastAsia"/>
          <w:rtl/>
        </w:rPr>
        <w:t>המסקנה</w:t>
      </w:r>
      <w:r>
        <w:rPr>
          <w:rtl/>
        </w:rPr>
        <w:t xml:space="preserve"> </w:t>
      </w:r>
      <w:r>
        <w:rPr>
          <w:rFonts w:hint="eastAsia"/>
          <w:rtl/>
        </w:rPr>
        <w:t>המשפטית</w:t>
      </w:r>
      <w:r>
        <w:rPr>
          <w:rtl/>
        </w:rPr>
        <w:t xml:space="preserve"> </w:t>
      </w:r>
      <w:r>
        <w:rPr>
          <w:rFonts w:hint="eastAsia"/>
          <w:rtl/>
        </w:rPr>
        <w:t>המתבקשת</w:t>
      </w:r>
      <w:r>
        <w:rPr>
          <w:rtl/>
        </w:rPr>
        <w:t xml:space="preserve"> </w:t>
      </w:r>
      <w:r>
        <w:rPr>
          <w:rFonts w:hint="eastAsia"/>
          <w:rtl/>
        </w:rPr>
        <w:t>ממכלול</w:t>
      </w:r>
      <w:r>
        <w:rPr>
          <w:rtl/>
        </w:rPr>
        <w:t xml:space="preserve"> </w:t>
      </w:r>
      <w:r>
        <w:rPr>
          <w:rFonts w:hint="eastAsia"/>
          <w:rtl/>
        </w:rPr>
        <w:t>העובדות</w:t>
      </w:r>
      <w:r>
        <w:rPr>
          <w:rtl/>
        </w:rPr>
        <w:t xml:space="preserve"> </w:t>
      </w:r>
      <w:r>
        <w:rPr>
          <w:rFonts w:hint="eastAsia"/>
          <w:rtl/>
        </w:rPr>
        <w:t>שהוכחו</w:t>
      </w:r>
      <w:r>
        <w:rPr>
          <w:rtl/>
        </w:rPr>
        <w:t xml:space="preserve"> </w:t>
      </w:r>
      <w:r>
        <w:rPr>
          <w:rFonts w:hint="eastAsia"/>
          <w:rtl/>
        </w:rPr>
        <w:t>בפניו</w:t>
      </w:r>
      <w:r>
        <w:rPr>
          <w:rtl/>
        </w:rPr>
        <w:t xml:space="preserve">, </w:t>
      </w:r>
      <w:r>
        <w:rPr>
          <w:rFonts w:hint="eastAsia"/>
          <w:rtl/>
        </w:rPr>
        <w:t>ולא</w:t>
      </w:r>
      <w:r>
        <w:rPr>
          <w:rtl/>
        </w:rPr>
        <w:t xml:space="preserve"> </w:t>
      </w:r>
      <w:r>
        <w:rPr>
          <w:rFonts w:hint="eastAsia"/>
          <w:rtl/>
        </w:rPr>
        <w:t>על</w:t>
      </w:r>
      <w:r>
        <w:rPr>
          <w:rtl/>
        </w:rPr>
        <w:t xml:space="preserve"> </w:t>
      </w:r>
      <w:r>
        <w:rPr>
          <w:rFonts w:hint="eastAsia"/>
          <w:rtl/>
        </w:rPr>
        <w:t>פי</w:t>
      </w:r>
      <w:r>
        <w:rPr>
          <w:rtl/>
        </w:rPr>
        <w:t xml:space="preserve"> </w:t>
      </w:r>
      <w:r>
        <w:rPr>
          <w:rFonts w:hint="cs"/>
          <w:rtl/>
        </w:rPr>
        <w:t>'</w:t>
      </w:r>
      <w:r>
        <w:rPr>
          <w:rFonts w:hint="eastAsia"/>
          <w:rtl/>
        </w:rPr>
        <w:t>תחושת</w:t>
      </w:r>
      <w:r>
        <w:rPr>
          <w:rtl/>
        </w:rPr>
        <w:t xml:space="preserve"> </w:t>
      </w:r>
      <w:r>
        <w:rPr>
          <w:rFonts w:hint="eastAsia"/>
          <w:rtl/>
        </w:rPr>
        <w:t>בטן</w:t>
      </w:r>
      <w:r>
        <w:rPr>
          <w:rFonts w:hint="cs"/>
          <w:rtl/>
        </w:rPr>
        <w:t>'</w:t>
      </w:r>
      <w:r>
        <w:rPr>
          <w:rtl/>
        </w:rPr>
        <w:t xml:space="preserve"> </w:t>
      </w:r>
      <w:r>
        <w:rPr>
          <w:rFonts w:hint="eastAsia"/>
          <w:rtl/>
        </w:rPr>
        <w:t>שאינה</w:t>
      </w:r>
      <w:r>
        <w:rPr>
          <w:rtl/>
        </w:rPr>
        <w:t xml:space="preserve"> </w:t>
      </w:r>
      <w:r>
        <w:rPr>
          <w:rFonts w:hint="eastAsia"/>
          <w:rtl/>
        </w:rPr>
        <w:t>מבוססת</w:t>
      </w:r>
      <w:r>
        <w:rPr>
          <w:rtl/>
        </w:rPr>
        <w:t xml:space="preserve"> </w:t>
      </w:r>
      <w:r>
        <w:rPr>
          <w:rFonts w:hint="eastAsia"/>
          <w:rtl/>
        </w:rPr>
        <w:t>היטב</w:t>
      </w:r>
      <w:r>
        <w:rPr>
          <w:rtl/>
        </w:rPr>
        <w:t xml:space="preserve"> </w:t>
      </w:r>
      <w:r>
        <w:rPr>
          <w:rFonts w:hint="eastAsia"/>
          <w:rtl/>
        </w:rPr>
        <w:t>בראיות</w:t>
      </w:r>
      <w:r>
        <w:rPr>
          <w:rFonts w:hint="cs"/>
          <w:rtl/>
        </w:rPr>
        <w:t>" (שם, בפסקה 130)</w:t>
      </w:r>
      <w:r>
        <w:rPr>
          <w:rtl/>
        </w:rPr>
        <w:t>.</w:t>
      </w:r>
    </w:p>
    <w:p w:rsidR="000F3C05" w:rsidRDefault="000F3C05" w:rsidP="00B45CD7">
      <w:pPr>
        <w:pStyle w:val="af6"/>
        <w:rPr>
          <w:rtl/>
        </w:rPr>
      </w:pPr>
      <w:r>
        <w:rPr>
          <w:rtl/>
        </w:rPr>
        <w:tab/>
      </w:r>
      <w:r w:rsidR="00B45CD7">
        <w:rPr>
          <w:rFonts w:hint="cs"/>
          <w:rtl/>
        </w:rPr>
        <w:t>בית משפט השלום, בשבתו כערכאה הדיונית, אימץ</w:t>
      </w:r>
      <w:r>
        <w:rPr>
          <w:rFonts w:hint="cs"/>
          <w:rtl/>
        </w:rPr>
        <w:t xml:space="preserve"> הנחיה זו ובחן בדקדקנות רבה, על פי מכלול הראיות שהובאו בפניו, את כל הפעולות הספציפיות אשר על פי הנטען </w:t>
      </w:r>
      <w:r>
        <w:rPr>
          <w:rFonts w:hint="cs"/>
          <w:rtl/>
        </w:rPr>
        <w:lastRenderedPageBreak/>
        <w:t xml:space="preserve">בכתב האישום ביצע המבקש לאורך השנים, בכל אחת מן הפרשות. בכלל זה בחן בית משפט השלום ביחס לכל פעולה ופעולה, בהתאם למבחני המשנה שנקבעו בפסיקת בית משפט זה באשר לטענת ניגוד עניינים, את מועד וטיב הקשר בין המבקש לשוטרות; מועד ביצוע הפעולה או קבלת ההחלטה; טיב הפעולה או ההחלטה; האם הוענקה טובת הנאה; מהי מידת המעורבות של גורמים אחרים בביצוע הפעולה או בהליך קבלת ההחלטה; ובאיזה מידה הפעיל המבקש שיקול דעת בעניין. על יסוד בחינה זו הגיע בית משפט השלום למסקנה עניינית ביחס לכל אחת מהפעולות. </w:t>
      </w:r>
    </w:p>
    <w:p w:rsidR="00B45CD7" w:rsidRDefault="000F3C05" w:rsidP="00B45CD7">
      <w:pPr>
        <w:pStyle w:val="a"/>
      </w:pPr>
      <w:r>
        <w:rPr>
          <w:rFonts w:hint="cs"/>
          <w:rtl/>
        </w:rPr>
        <w:t xml:space="preserve">לעומתו, משהגיע בית המשפט המחוזי למסקנה כי "די בדפוס התנהלותו של שחם </w:t>
      </w:r>
      <w:r>
        <w:rPr>
          <w:rtl/>
        </w:rPr>
        <w:t>–</w:t>
      </w:r>
      <w:r>
        <w:rPr>
          <w:rFonts w:hint="cs"/>
          <w:rtl/>
        </w:rPr>
        <w:t xml:space="preserve"> בקבלת החלטות בעניינן של השוטרות, בהיותו במצב של ניגוד עניינים </w:t>
      </w:r>
      <w:r>
        <w:rPr>
          <w:rtl/>
        </w:rPr>
        <w:t>–</w:t>
      </w:r>
      <w:r>
        <w:rPr>
          <w:rFonts w:hint="cs"/>
          <w:rtl/>
        </w:rPr>
        <w:t xml:space="preserve"> כדי להכניסו לגדר אותה עבירה" (השאלה השנ</w:t>
      </w:r>
      <w:r w:rsidR="00895777">
        <w:rPr>
          <w:rFonts w:hint="cs"/>
          <w:rtl/>
        </w:rPr>
        <w:t>י</w:t>
      </w:r>
      <w:r>
        <w:rPr>
          <w:rFonts w:hint="cs"/>
          <w:rtl/>
        </w:rPr>
        <w:t xml:space="preserve">יה שהציב להכרעה </w:t>
      </w:r>
      <w:r>
        <w:rPr>
          <w:rtl/>
        </w:rPr>
        <w:t>–</w:t>
      </w:r>
      <w:r>
        <w:rPr>
          <w:rFonts w:hint="cs"/>
          <w:rtl/>
        </w:rPr>
        <w:t xml:space="preserve"> ראו בעמ' 26 לפסק דינו של בית המשפט המחוזי), הוא נמנע מלדון בכל אחת מהפעולות הנטענות לפרטיה, תוך בחינה האם כל פעולה בניגוד עניינים כשלעצמה פוגעת פגיעה מהותית באינטרס המוגן של העבירה, ולפיכך מקיימת את היסוד העובדתי בה.</w:t>
      </w:r>
    </w:p>
    <w:p w:rsidR="000F3C05" w:rsidRDefault="000F3C05" w:rsidP="00B45CD7">
      <w:pPr>
        <w:pStyle w:val="af6"/>
        <w:rPr>
          <w:rtl/>
        </w:rPr>
      </w:pPr>
      <w:r>
        <w:rPr>
          <w:rFonts w:hint="cs"/>
          <w:rtl/>
        </w:rPr>
        <w:t xml:space="preserve">חלף זאת, הסתפק </w:t>
      </w:r>
      <w:r w:rsidR="00B45CD7">
        <w:rPr>
          <w:rFonts w:hint="cs"/>
          <w:rtl/>
        </w:rPr>
        <w:t>בית המשפט המחוזי בפסק דינו</w:t>
      </w:r>
      <w:r>
        <w:rPr>
          <w:rFonts w:hint="cs"/>
          <w:rtl/>
        </w:rPr>
        <w:t xml:space="preserve"> בדיון כללי בהתנהלותו של המבקש בעצם יצירת הקשרים האינטימיים. התייחסות נקודתית מצד בית המשפט המחוזי לכל אחת מהפרשות נעשתה רק בקשר ל"מבחן התוצאה", ואף היא נעשתה באופן חלקי ובבחינת למעלה מן הצורך. </w:t>
      </w:r>
    </w:p>
    <w:p w:rsidR="000F3C05" w:rsidRDefault="000F3C05" w:rsidP="000F3C05">
      <w:pPr>
        <w:pStyle w:val="af6"/>
        <w:rPr>
          <w:rtl/>
        </w:rPr>
      </w:pPr>
      <w:r>
        <w:rPr>
          <w:rtl/>
        </w:rPr>
        <w:tab/>
      </w:r>
      <w:r>
        <w:rPr>
          <w:rFonts w:hint="cs"/>
          <w:rtl/>
        </w:rPr>
        <w:t xml:space="preserve">לא זו בלבד, אלא שבית המשפט המחוזי ביקר את הבחינה העובדתית שערך בית משפט השלום, באומרו כי דרך זו של ניתוח הראיות "דחקה לקרן זווית את משקלם הסגולי" של דפוסי התנהגותו של המבקש ואף "פירקה את הפסיפס העובדתי" באופן שהביא לדילול ועיוות התמונה הראייתית שהונחה בפני בית המשפט. מסקנתו של בית המשפט המחוזי הייתה כי אין לבחון כל מקרה ומקרה כעומד בפני עצמו ובמנותק מכל השאר, אלא יש להסתכל על התמונה השלמה המתגבשת מכלל המעשים.  </w:t>
      </w:r>
    </w:p>
    <w:p w:rsidR="000F3C05" w:rsidRDefault="000F3C05" w:rsidP="000F3C05">
      <w:pPr>
        <w:pStyle w:val="a"/>
        <w:rPr>
          <w:rtl/>
        </w:rPr>
      </w:pPr>
      <w:r>
        <w:rPr>
          <w:rFonts w:hint="cs"/>
          <w:rtl/>
        </w:rPr>
        <w:t>גישה עקרונית זו אין בידי לקבל. נאשם בעבירת מרמה והפרת אמונים, ככל נאשם, עומד לדין בגין ביצוע מעשה או מעשים. מלאכתו של בית המשפט היושב בדין היא אפוא לקבוע על בסיס מלוא חומר הראיות האם ביצע אותו אדם את המעשה או המעשים המיוחסים לו. לצורך קביעה זו, אין מנוס מירידה לפרטים, מניתוח מדוקדק של הראיות, מקביעת ממצאי עובדה ומהימנות</w:t>
      </w:r>
      <w:r w:rsidRPr="009F0AB2">
        <w:rPr>
          <w:rFonts w:hint="eastAsia"/>
          <w:rtl/>
        </w:rPr>
        <w:t xml:space="preserve"> ביחס</w:t>
      </w:r>
      <w:r w:rsidRPr="009F0AB2">
        <w:rPr>
          <w:rtl/>
        </w:rPr>
        <w:t xml:space="preserve"> </w:t>
      </w:r>
      <w:r w:rsidRPr="009F0AB2">
        <w:rPr>
          <w:rFonts w:hint="eastAsia"/>
          <w:rtl/>
        </w:rPr>
        <w:t>לכל</w:t>
      </w:r>
      <w:r w:rsidRPr="009F0AB2">
        <w:rPr>
          <w:rtl/>
        </w:rPr>
        <w:t xml:space="preserve"> </w:t>
      </w:r>
      <w:r w:rsidRPr="009F0AB2">
        <w:rPr>
          <w:rFonts w:hint="eastAsia"/>
          <w:rtl/>
        </w:rPr>
        <w:t>אחד</w:t>
      </w:r>
      <w:r w:rsidRPr="009F0AB2">
        <w:rPr>
          <w:rtl/>
        </w:rPr>
        <w:t xml:space="preserve"> </w:t>
      </w:r>
      <w:r w:rsidRPr="009F0AB2">
        <w:rPr>
          <w:rFonts w:hint="eastAsia"/>
          <w:rtl/>
        </w:rPr>
        <w:t>מאותם</w:t>
      </w:r>
      <w:r w:rsidRPr="009F0AB2">
        <w:rPr>
          <w:rtl/>
        </w:rPr>
        <w:t xml:space="preserve"> </w:t>
      </w:r>
      <w:r w:rsidRPr="009F0AB2">
        <w:rPr>
          <w:rFonts w:hint="eastAsia"/>
          <w:rtl/>
        </w:rPr>
        <w:t>מעשים</w:t>
      </w:r>
      <w:r w:rsidRPr="009F0AB2">
        <w:rPr>
          <w:rtl/>
        </w:rPr>
        <w:t>,</w:t>
      </w:r>
      <w:r>
        <w:rPr>
          <w:rFonts w:hint="cs"/>
          <w:rtl/>
        </w:rPr>
        <w:t xml:space="preserve"> ו</w:t>
      </w:r>
      <w:r w:rsidRPr="009F0AB2">
        <w:rPr>
          <w:rFonts w:hint="eastAsia"/>
          <w:rtl/>
        </w:rPr>
        <w:t>מבחינת</w:t>
      </w:r>
      <w:r w:rsidRPr="009F0AB2">
        <w:rPr>
          <w:rtl/>
        </w:rPr>
        <w:t xml:space="preserve"> </w:t>
      </w:r>
      <w:r w:rsidRPr="009F0AB2">
        <w:rPr>
          <w:rFonts w:hint="eastAsia"/>
          <w:rtl/>
        </w:rPr>
        <w:t>התקיימותם</w:t>
      </w:r>
      <w:r w:rsidRPr="009F0AB2">
        <w:rPr>
          <w:rtl/>
        </w:rPr>
        <w:t xml:space="preserve"> </w:t>
      </w:r>
      <w:r w:rsidRPr="009F0AB2">
        <w:rPr>
          <w:rFonts w:hint="eastAsia"/>
          <w:rtl/>
        </w:rPr>
        <w:t>של</w:t>
      </w:r>
      <w:r w:rsidRPr="009F0AB2">
        <w:rPr>
          <w:rtl/>
        </w:rPr>
        <w:t xml:space="preserve"> </w:t>
      </w:r>
      <w:r w:rsidRPr="009F0AB2">
        <w:rPr>
          <w:rFonts w:hint="eastAsia"/>
          <w:rtl/>
        </w:rPr>
        <w:t>כל</w:t>
      </w:r>
      <w:r w:rsidRPr="009F0AB2">
        <w:rPr>
          <w:rtl/>
        </w:rPr>
        <w:t xml:space="preserve"> </w:t>
      </w:r>
      <w:r w:rsidRPr="009F0AB2">
        <w:rPr>
          <w:rFonts w:hint="eastAsia"/>
          <w:rtl/>
        </w:rPr>
        <w:t>אחד</w:t>
      </w:r>
      <w:r w:rsidRPr="009F0AB2">
        <w:rPr>
          <w:rtl/>
        </w:rPr>
        <w:t xml:space="preserve"> </w:t>
      </w:r>
      <w:r w:rsidRPr="009F0AB2">
        <w:rPr>
          <w:rFonts w:hint="eastAsia"/>
          <w:rtl/>
        </w:rPr>
        <w:t>מיסודות</w:t>
      </w:r>
      <w:r w:rsidRPr="009F0AB2">
        <w:rPr>
          <w:rtl/>
        </w:rPr>
        <w:t xml:space="preserve"> </w:t>
      </w:r>
      <w:r w:rsidRPr="009F0AB2">
        <w:rPr>
          <w:rFonts w:hint="eastAsia"/>
          <w:rtl/>
        </w:rPr>
        <w:t>העבירה</w:t>
      </w:r>
      <w:r>
        <w:rPr>
          <w:rFonts w:hint="cs"/>
          <w:rtl/>
        </w:rPr>
        <w:t xml:space="preserve">. היותה של עבירת המרמה והפרת האמונים "עבירת סל" אינו פוטר את בית המשפט ממלאכה תמידית זו. </w:t>
      </w:r>
    </w:p>
    <w:p w:rsidR="000F3C05" w:rsidRDefault="000F3C05" w:rsidP="000F3C05">
      <w:pPr>
        <w:pStyle w:val="af6"/>
        <w:rPr>
          <w:rtl/>
        </w:rPr>
      </w:pPr>
      <w:r>
        <w:rPr>
          <w:rtl/>
        </w:rPr>
        <w:lastRenderedPageBreak/>
        <w:tab/>
      </w:r>
      <w:r>
        <w:rPr>
          <w:rFonts w:hint="cs"/>
          <w:rtl/>
        </w:rPr>
        <w:t xml:space="preserve">קבלת תזת הצבירה עשויה לעורר אפוא קושי גם במישור זה, שכן היא עלולה להותיר את הרושם המוטעה לפיו די להסתפק בבחינת "דפוס התנהגות כולל" ולוותר על בחינת התקיימות היסוד העובדתי והיסוד הנפשי בכל אחד מהמעשים המיוחסים לנאשם עובד הציבור. </w:t>
      </w:r>
    </w:p>
    <w:p w:rsidR="000F3C05" w:rsidRDefault="000F3C05" w:rsidP="000F3C05">
      <w:pPr>
        <w:pStyle w:val="a"/>
        <w:rPr>
          <w:rtl/>
        </w:rPr>
      </w:pPr>
      <w:r>
        <w:rPr>
          <w:rFonts w:hint="cs"/>
          <w:rtl/>
        </w:rPr>
        <w:t>לאור מכלול הטעמים האמורים הגעתי לכלל מסקנה, כי אין לקבל את עמדת המשיבה לפיה הצטברות מעשים שנעשו במצב של ניגוד עניינים, אשר אף אחד מהם כשהוא ניצב לבדו אינו חוצה את הרף הפלילי, עשויה לבסס הרשעה בעבירה פלילית של מרמה והפרת אמונים של עובד ציבור, לפי סעיף 284 לחוק העונשין.</w:t>
      </w:r>
    </w:p>
    <w:p w:rsidR="000F3C05" w:rsidRDefault="000F3C05" w:rsidP="000F3C05">
      <w:pPr>
        <w:pStyle w:val="a"/>
        <w:rPr>
          <w:rtl/>
        </w:rPr>
      </w:pPr>
      <w:r>
        <w:rPr>
          <w:rFonts w:hint="cs"/>
          <w:rtl/>
        </w:rPr>
        <w:t>לענייננו, כשם שמסקנה זו אמורה ביחס להיעדר האפשרות לצבור יחדיו את שש הפעולות שביצע המבקש בניגוד עניינים (שיחות הטלפון והראיונות) לצורך הרשעתו בעבירה, כך היא נכונה גם ביחס להיעדר האפשרות להרשיעו בשל "דפוס התנהלותו בבצעו מעשים מיניים בהסכמה" עם שוטרות שונות. שהרי, עקרון החוקיות חד הוא, ודורש כי הנורמה תהא ברורה ומפורשת, בין אם מדובר בשיחת טלפון שלא במקומה ובין אם מדובר בקיום מערכת יחסים אינטימית מוסכמת, שבנסיבות העניין מן הראוי היה לעובד הציבור להימנע ממנה.</w:t>
      </w:r>
    </w:p>
    <w:p w:rsidR="000F3C05" w:rsidRDefault="000F3C05" w:rsidP="000F3C05">
      <w:pPr>
        <w:pStyle w:val="af6"/>
        <w:rPr>
          <w:rtl/>
        </w:rPr>
      </w:pPr>
      <w:r>
        <w:rPr>
          <w:rtl/>
        </w:rPr>
        <w:tab/>
      </w:r>
      <w:r>
        <w:rPr>
          <w:rFonts w:hint="cs"/>
          <w:rtl/>
        </w:rPr>
        <w:t xml:space="preserve">מסקנה זו מתבררת גם מתוך פסק דינו של בית המשפט המחוזי, אשר נמנע מלהציב קו גבול ברור, שהגיונו </w:t>
      </w:r>
      <w:proofErr w:type="spellStart"/>
      <w:r>
        <w:rPr>
          <w:rFonts w:hint="cs"/>
          <w:rtl/>
        </w:rPr>
        <w:t>בצידו</w:t>
      </w:r>
      <w:proofErr w:type="spellEnd"/>
      <w:r>
        <w:rPr>
          <w:rFonts w:hint="cs"/>
          <w:rtl/>
        </w:rPr>
        <w:t>, בין התחום המשמעתי לתחום הפלילי, בכל הנוגע לקיום מערכות יחסים אינטימיות בהסכמה, אשר לא מתקיים בהן היסוד של ניצול יחסי מרות. כך, תחת הכותרת "</w:t>
      </w:r>
      <w:r w:rsidRPr="00137BE0">
        <w:rPr>
          <w:rFonts w:ascii="Century" w:hAnsi="Century" w:cs="Miriam" w:hint="cs"/>
          <w:b/>
          <w:spacing w:val="0"/>
          <w:szCs w:val="24"/>
          <w:rtl/>
        </w:rPr>
        <w:t>משמעתי ופלילי</w:t>
      </w:r>
      <w:r>
        <w:rPr>
          <w:rFonts w:hint="cs"/>
          <w:rtl/>
        </w:rPr>
        <w:t xml:space="preserve">", קובע בית המשפט המחוזי, כי: </w:t>
      </w:r>
    </w:p>
    <w:p w:rsidR="000F3C05" w:rsidRPr="000044D2" w:rsidRDefault="000F3C05" w:rsidP="000F3C05">
      <w:pPr>
        <w:pStyle w:val="af2"/>
        <w:rPr>
          <w:spacing w:val="8"/>
          <w:rtl/>
        </w:rPr>
      </w:pPr>
      <w:r w:rsidRPr="000044D2">
        <w:rPr>
          <w:spacing w:val="8"/>
          <w:rtl/>
        </w:rPr>
        <w:t>"</w:t>
      </w:r>
      <w:r w:rsidRPr="000044D2">
        <w:rPr>
          <w:rFonts w:hint="eastAsia"/>
          <w:spacing w:val="8"/>
          <w:rtl/>
        </w:rPr>
        <w:t>אין</w:t>
      </w:r>
      <w:r w:rsidRPr="000044D2">
        <w:rPr>
          <w:spacing w:val="8"/>
          <w:rtl/>
        </w:rPr>
        <w:t xml:space="preserve"> </w:t>
      </w:r>
      <w:r w:rsidRPr="000044D2">
        <w:rPr>
          <w:rFonts w:hint="eastAsia"/>
          <w:spacing w:val="8"/>
          <w:rtl/>
        </w:rPr>
        <w:t>פירוש</w:t>
      </w:r>
      <w:r w:rsidRPr="000044D2">
        <w:rPr>
          <w:spacing w:val="8"/>
          <w:rtl/>
        </w:rPr>
        <w:t xml:space="preserve"> </w:t>
      </w:r>
      <w:r w:rsidRPr="000044D2">
        <w:rPr>
          <w:rFonts w:hint="eastAsia"/>
          <w:spacing w:val="8"/>
          <w:rtl/>
        </w:rPr>
        <w:t>הדבר</w:t>
      </w:r>
      <w:r w:rsidRPr="000044D2">
        <w:rPr>
          <w:spacing w:val="8"/>
          <w:rtl/>
        </w:rPr>
        <w:t xml:space="preserve"> </w:t>
      </w:r>
      <w:r w:rsidRPr="000044D2">
        <w:rPr>
          <w:rFonts w:hint="eastAsia"/>
          <w:spacing w:val="8"/>
          <w:rtl/>
        </w:rPr>
        <w:t>שכל</w:t>
      </w:r>
      <w:r w:rsidRPr="000044D2">
        <w:rPr>
          <w:spacing w:val="8"/>
          <w:rtl/>
        </w:rPr>
        <w:t xml:space="preserve"> </w:t>
      </w:r>
      <w:r w:rsidRPr="000044D2">
        <w:rPr>
          <w:rFonts w:hint="eastAsia"/>
          <w:spacing w:val="8"/>
          <w:rtl/>
        </w:rPr>
        <w:t>אימת</w:t>
      </w:r>
      <w:r w:rsidRPr="000044D2">
        <w:rPr>
          <w:spacing w:val="8"/>
          <w:rtl/>
        </w:rPr>
        <w:t xml:space="preserve"> </w:t>
      </w:r>
      <w:r w:rsidRPr="000044D2">
        <w:rPr>
          <w:rFonts w:hint="eastAsia"/>
          <w:spacing w:val="8"/>
          <w:rtl/>
        </w:rPr>
        <w:t>שעובד</w:t>
      </w:r>
      <w:r w:rsidRPr="000044D2">
        <w:rPr>
          <w:spacing w:val="8"/>
          <w:rtl/>
        </w:rPr>
        <w:t xml:space="preserve"> </w:t>
      </w:r>
      <w:r w:rsidRPr="000044D2">
        <w:rPr>
          <w:rFonts w:hint="eastAsia"/>
          <w:spacing w:val="8"/>
          <w:rtl/>
        </w:rPr>
        <w:t>הציבור</w:t>
      </w:r>
      <w:r w:rsidRPr="000044D2">
        <w:rPr>
          <w:spacing w:val="8"/>
          <w:rtl/>
        </w:rPr>
        <w:t xml:space="preserve"> </w:t>
      </w:r>
      <w:r w:rsidRPr="000044D2">
        <w:rPr>
          <w:rFonts w:hint="eastAsia"/>
          <w:spacing w:val="8"/>
          <w:rtl/>
        </w:rPr>
        <w:t>מקיים</w:t>
      </w:r>
      <w:r w:rsidRPr="000044D2">
        <w:rPr>
          <w:spacing w:val="8"/>
          <w:rtl/>
        </w:rPr>
        <w:t xml:space="preserve"> </w:t>
      </w:r>
      <w:r w:rsidRPr="000044D2">
        <w:rPr>
          <w:rFonts w:hint="eastAsia"/>
          <w:spacing w:val="8"/>
          <w:rtl/>
        </w:rPr>
        <w:t>יחסים</w:t>
      </w:r>
      <w:r w:rsidRPr="000044D2">
        <w:rPr>
          <w:spacing w:val="8"/>
          <w:rtl/>
        </w:rPr>
        <w:t xml:space="preserve"> </w:t>
      </w:r>
      <w:r w:rsidRPr="000044D2">
        <w:rPr>
          <w:rFonts w:hint="eastAsia"/>
          <w:spacing w:val="8"/>
          <w:rtl/>
        </w:rPr>
        <w:t>אינטימיים</w:t>
      </w:r>
      <w:r w:rsidRPr="000044D2">
        <w:rPr>
          <w:spacing w:val="8"/>
          <w:rtl/>
        </w:rPr>
        <w:t xml:space="preserve"> </w:t>
      </w:r>
      <w:r w:rsidRPr="000044D2">
        <w:rPr>
          <w:rFonts w:hint="eastAsia"/>
          <w:spacing w:val="8"/>
          <w:rtl/>
        </w:rPr>
        <w:t>מוסכמים</w:t>
      </w:r>
      <w:r w:rsidRPr="000044D2">
        <w:rPr>
          <w:spacing w:val="8"/>
          <w:rtl/>
        </w:rPr>
        <w:t xml:space="preserve"> </w:t>
      </w:r>
      <w:r w:rsidRPr="000044D2">
        <w:rPr>
          <w:rFonts w:hint="eastAsia"/>
          <w:spacing w:val="8"/>
          <w:rtl/>
        </w:rPr>
        <w:t>עם</w:t>
      </w:r>
      <w:r w:rsidRPr="000044D2">
        <w:rPr>
          <w:spacing w:val="8"/>
          <w:rtl/>
        </w:rPr>
        <w:t xml:space="preserve"> </w:t>
      </w:r>
      <w:r w:rsidRPr="000044D2">
        <w:rPr>
          <w:rFonts w:hint="eastAsia"/>
          <w:spacing w:val="8"/>
          <w:rtl/>
        </w:rPr>
        <w:t>כפיפה</w:t>
      </w:r>
      <w:r w:rsidRPr="000044D2">
        <w:rPr>
          <w:spacing w:val="8"/>
          <w:rtl/>
        </w:rPr>
        <w:t xml:space="preserve">, </w:t>
      </w:r>
      <w:r w:rsidRPr="000044D2">
        <w:rPr>
          <w:rFonts w:hint="eastAsia"/>
          <w:spacing w:val="8"/>
          <w:rtl/>
        </w:rPr>
        <w:t>עולה</w:t>
      </w:r>
      <w:r w:rsidRPr="000044D2">
        <w:rPr>
          <w:spacing w:val="8"/>
          <w:rtl/>
        </w:rPr>
        <w:t xml:space="preserve"> </w:t>
      </w:r>
      <w:r w:rsidRPr="000044D2">
        <w:rPr>
          <w:rFonts w:hint="eastAsia"/>
          <w:spacing w:val="8"/>
          <w:rtl/>
        </w:rPr>
        <w:t>הדבר</w:t>
      </w:r>
      <w:r w:rsidRPr="000044D2">
        <w:rPr>
          <w:spacing w:val="8"/>
          <w:rtl/>
        </w:rPr>
        <w:t xml:space="preserve"> </w:t>
      </w:r>
      <w:r w:rsidRPr="000044D2">
        <w:rPr>
          <w:rFonts w:hint="eastAsia"/>
          <w:spacing w:val="8"/>
          <w:rtl/>
        </w:rPr>
        <w:t>כדי</w:t>
      </w:r>
      <w:r w:rsidRPr="000044D2">
        <w:rPr>
          <w:spacing w:val="8"/>
          <w:rtl/>
        </w:rPr>
        <w:t xml:space="preserve"> </w:t>
      </w:r>
      <w:r w:rsidRPr="000044D2">
        <w:rPr>
          <w:rFonts w:hint="eastAsia"/>
          <w:spacing w:val="8"/>
          <w:rtl/>
        </w:rPr>
        <w:t>עבירה</w:t>
      </w:r>
      <w:r w:rsidRPr="000044D2">
        <w:rPr>
          <w:spacing w:val="8"/>
          <w:rtl/>
        </w:rPr>
        <w:t xml:space="preserve"> </w:t>
      </w:r>
      <w:r w:rsidRPr="000044D2">
        <w:rPr>
          <w:rFonts w:hint="eastAsia"/>
          <w:spacing w:val="8"/>
          <w:rtl/>
        </w:rPr>
        <w:t>פלילית</w:t>
      </w:r>
      <w:r w:rsidRPr="000044D2">
        <w:rPr>
          <w:spacing w:val="8"/>
          <w:rtl/>
        </w:rPr>
        <w:t xml:space="preserve">. </w:t>
      </w:r>
      <w:r w:rsidRPr="000044D2">
        <w:rPr>
          <w:rFonts w:hint="eastAsia"/>
          <w:spacing w:val="8"/>
          <w:rtl/>
        </w:rPr>
        <w:t>עבירת</w:t>
      </w:r>
      <w:r w:rsidRPr="000044D2">
        <w:rPr>
          <w:spacing w:val="8"/>
          <w:rtl/>
        </w:rPr>
        <w:t xml:space="preserve"> </w:t>
      </w:r>
      <w:r w:rsidRPr="000044D2">
        <w:rPr>
          <w:rFonts w:hint="eastAsia"/>
          <w:spacing w:val="8"/>
          <w:rtl/>
        </w:rPr>
        <w:t>הפרת</w:t>
      </w:r>
      <w:r w:rsidRPr="000044D2">
        <w:rPr>
          <w:spacing w:val="8"/>
          <w:rtl/>
        </w:rPr>
        <w:t xml:space="preserve"> </w:t>
      </w:r>
      <w:r w:rsidRPr="000044D2">
        <w:rPr>
          <w:rFonts w:hint="eastAsia"/>
          <w:spacing w:val="8"/>
          <w:rtl/>
        </w:rPr>
        <w:t>האמונים</w:t>
      </w:r>
      <w:r w:rsidRPr="000044D2">
        <w:rPr>
          <w:spacing w:val="8"/>
          <w:rtl/>
        </w:rPr>
        <w:t xml:space="preserve"> </w:t>
      </w:r>
      <w:r w:rsidRPr="000044D2">
        <w:rPr>
          <w:rFonts w:hint="eastAsia"/>
          <w:spacing w:val="8"/>
          <w:rtl/>
        </w:rPr>
        <w:t>דורשת</w:t>
      </w:r>
      <w:r w:rsidRPr="000044D2">
        <w:rPr>
          <w:spacing w:val="8"/>
          <w:rtl/>
        </w:rPr>
        <w:t xml:space="preserve"> </w:t>
      </w:r>
      <w:r w:rsidRPr="000044D2">
        <w:rPr>
          <w:rFonts w:hint="eastAsia"/>
          <w:spacing w:val="8"/>
          <w:rtl/>
        </w:rPr>
        <w:t>מן</w:t>
      </w:r>
      <w:r w:rsidRPr="000044D2">
        <w:rPr>
          <w:spacing w:val="8"/>
          <w:rtl/>
        </w:rPr>
        <w:t xml:space="preserve"> </w:t>
      </w:r>
      <w:r w:rsidRPr="000044D2">
        <w:rPr>
          <w:rFonts w:hint="eastAsia"/>
          <w:spacing w:val="8"/>
          <w:rtl/>
        </w:rPr>
        <w:t>השופט</w:t>
      </w:r>
      <w:r w:rsidRPr="000044D2">
        <w:rPr>
          <w:spacing w:val="8"/>
          <w:rtl/>
        </w:rPr>
        <w:t xml:space="preserve"> </w:t>
      </w:r>
      <w:r w:rsidRPr="000044D2">
        <w:rPr>
          <w:rFonts w:hint="eastAsia"/>
          <w:spacing w:val="8"/>
          <w:rtl/>
        </w:rPr>
        <w:t>להלך</w:t>
      </w:r>
      <w:r w:rsidRPr="000044D2">
        <w:rPr>
          <w:spacing w:val="8"/>
          <w:rtl/>
        </w:rPr>
        <w:t xml:space="preserve"> </w:t>
      </w:r>
      <w:r w:rsidRPr="000044D2">
        <w:rPr>
          <w:rFonts w:hint="eastAsia"/>
          <w:spacing w:val="8"/>
          <w:rtl/>
        </w:rPr>
        <w:t>על</w:t>
      </w:r>
      <w:r w:rsidRPr="000044D2">
        <w:rPr>
          <w:spacing w:val="8"/>
          <w:rtl/>
        </w:rPr>
        <w:t xml:space="preserve"> </w:t>
      </w:r>
      <w:r w:rsidRPr="000044D2">
        <w:rPr>
          <w:rFonts w:hint="eastAsia"/>
          <w:spacing w:val="8"/>
          <w:rtl/>
        </w:rPr>
        <w:t>חבל</w:t>
      </w:r>
      <w:r w:rsidRPr="000044D2">
        <w:rPr>
          <w:spacing w:val="8"/>
          <w:rtl/>
        </w:rPr>
        <w:t xml:space="preserve"> </w:t>
      </w:r>
      <w:r w:rsidRPr="000044D2">
        <w:rPr>
          <w:rFonts w:hint="eastAsia"/>
          <w:spacing w:val="8"/>
          <w:rtl/>
        </w:rPr>
        <w:t>דק</w:t>
      </w:r>
      <w:r w:rsidRPr="000044D2">
        <w:rPr>
          <w:spacing w:val="8"/>
          <w:rtl/>
        </w:rPr>
        <w:t xml:space="preserve"> </w:t>
      </w:r>
      <w:r w:rsidRPr="000044D2">
        <w:rPr>
          <w:rFonts w:hint="eastAsia"/>
          <w:spacing w:val="8"/>
          <w:rtl/>
        </w:rPr>
        <w:t>המפריד</w:t>
      </w:r>
      <w:r w:rsidRPr="000044D2">
        <w:rPr>
          <w:spacing w:val="8"/>
          <w:rtl/>
        </w:rPr>
        <w:t xml:space="preserve"> </w:t>
      </w:r>
      <w:r w:rsidRPr="000044D2">
        <w:rPr>
          <w:rFonts w:hint="eastAsia"/>
          <w:spacing w:val="8"/>
          <w:rtl/>
        </w:rPr>
        <w:t>בין</w:t>
      </w:r>
      <w:r w:rsidRPr="000044D2">
        <w:rPr>
          <w:spacing w:val="8"/>
          <w:rtl/>
        </w:rPr>
        <w:t xml:space="preserve"> </w:t>
      </w:r>
      <w:r w:rsidRPr="000044D2">
        <w:rPr>
          <w:rFonts w:hint="eastAsia"/>
          <w:spacing w:val="8"/>
          <w:rtl/>
        </w:rPr>
        <w:t>האיסור</w:t>
      </w:r>
      <w:r w:rsidRPr="000044D2">
        <w:rPr>
          <w:spacing w:val="8"/>
          <w:rtl/>
        </w:rPr>
        <w:t xml:space="preserve"> </w:t>
      </w:r>
      <w:r w:rsidRPr="000044D2">
        <w:rPr>
          <w:rFonts w:hint="eastAsia"/>
          <w:spacing w:val="8"/>
          <w:rtl/>
        </w:rPr>
        <w:t>הפלילי</w:t>
      </w:r>
      <w:r w:rsidRPr="000044D2">
        <w:rPr>
          <w:spacing w:val="8"/>
          <w:rtl/>
        </w:rPr>
        <w:t xml:space="preserve"> </w:t>
      </w:r>
      <w:r w:rsidRPr="000044D2">
        <w:rPr>
          <w:rFonts w:hint="eastAsia"/>
          <w:spacing w:val="8"/>
          <w:rtl/>
        </w:rPr>
        <w:t>מזה</w:t>
      </w:r>
      <w:r w:rsidRPr="000044D2">
        <w:rPr>
          <w:spacing w:val="8"/>
          <w:rtl/>
        </w:rPr>
        <w:t xml:space="preserve">, </w:t>
      </w:r>
      <w:r w:rsidRPr="000044D2">
        <w:rPr>
          <w:rFonts w:hint="eastAsia"/>
          <w:spacing w:val="8"/>
          <w:rtl/>
        </w:rPr>
        <w:t>ובין</w:t>
      </w:r>
      <w:r w:rsidRPr="000044D2">
        <w:rPr>
          <w:spacing w:val="8"/>
          <w:rtl/>
        </w:rPr>
        <w:t xml:space="preserve"> </w:t>
      </w:r>
      <w:r w:rsidRPr="000044D2">
        <w:rPr>
          <w:rFonts w:hint="eastAsia"/>
          <w:spacing w:val="8"/>
          <w:rtl/>
        </w:rPr>
        <w:t>הפגם</w:t>
      </w:r>
      <w:r w:rsidRPr="000044D2">
        <w:rPr>
          <w:spacing w:val="8"/>
          <w:rtl/>
        </w:rPr>
        <w:t xml:space="preserve"> </w:t>
      </w:r>
      <w:r w:rsidRPr="000044D2">
        <w:rPr>
          <w:rFonts w:hint="eastAsia"/>
          <w:spacing w:val="8"/>
          <w:rtl/>
        </w:rPr>
        <w:t>האתי</w:t>
      </w:r>
      <w:r w:rsidRPr="000044D2">
        <w:rPr>
          <w:spacing w:val="8"/>
          <w:rtl/>
        </w:rPr>
        <w:t xml:space="preserve"> </w:t>
      </w:r>
      <w:r w:rsidRPr="000044D2">
        <w:rPr>
          <w:rFonts w:hint="eastAsia"/>
          <w:spacing w:val="8"/>
          <w:rtl/>
        </w:rPr>
        <w:t>או</w:t>
      </w:r>
      <w:r w:rsidRPr="000044D2">
        <w:rPr>
          <w:spacing w:val="8"/>
          <w:rtl/>
        </w:rPr>
        <w:t xml:space="preserve"> </w:t>
      </w:r>
      <w:r w:rsidRPr="000044D2">
        <w:rPr>
          <w:rFonts w:hint="eastAsia"/>
          <w:spacing w:val="8"/>
          <w:rtl/>
        </w:rPr>
        <w:t>המוסרי</w:t>
      </w:r>
      <w:r w:rsidRPr="000044D2">
        <w:rPr>
          <w:spacing w:val="8"/>
          <w:rtl/>
        </w:rPr>
        <w:t xml:space="preserve"> </w:t>
      </w:r>
      <w:r w:rsidRPr="000044D2">
        <w:rPr>
          <w:rFonts w:hint="eastAsia"/>
          <w:spacing w:val="8"/>
          <w:rtl/>
        </w:rPr>
        <w:t>מזה</w:t>
      </w:r>
      <w:r w:rsidRPr="000044D2">
        <w:rPr>
          <w:spacing w:val="8"/>
          <w:rtl/>
        </w:rPr>
        <w:t xml:space="preserve">. ... </w:t>
      </w:r>
      <w:r w:rsidRPr="000044D2">
        <w:rPr>
          <w:rFonts w:hint="eastAsia"/>
          <w:spacing w:val="8"/>
          <w:rtl/>
        </w:rPr>
        <w:t>לעולם</w:t>
      </w:r>
      <w:r w:rsidRPr="000044D2">
        <w:rPr>
          <w:spacing w:val="8"/>
          <w:rtl/>
        </w:rPr>
        <w:t xml:space="preserve"> </w:t>
      </w:r>
      <w:r w:rsidRPr="000044D2">
        <w:rPr>
          <w:rFonts w:hint="eastAsia"/>
          <w:spacing w:val="8"/>
          <w:rtl/>
        </w:rPr>
        <w:t>יש</w:t>
      </w:r>
      <w:r w:rsidRPr="000044D2">
        <w:rPr>
          <w:spacing w:val="8"/>
          <w:rtl/>
        </w:rPr>
        <w:t xml:space="preserve"> </w:t>
      </w:r>
      <w:proofErr w:type="spellStart"/>
      <w:r w:rsidRPr="000044D2">
        <w:rPr>
          <w:rFonts w:hint="eastAsia"/>
          <w:spacing w:val="8"/>
          <w:rtl/>
        </w:rPr>
        <w:t>ליתן</w:t>
      </w:r>
      <w:proofErr w:type="spellEnd"/>
      <w:r w:rsidRPr="000044D2">
        <w:rPr>
          <w:spacing w:val="8"/>
          <w:rtl/>
        </w:rPr>
        <w:t xml:space="preserve"> </w:t>
      </w:r>
      <w:r w:rsidRPr="000044D2">
        <w:rPr>
          <w:rFonts w:hint="eastAsia"/>
          <w:spacing w:val="8"/>
          <w:rtl/>
        </w:rPr>
        <w:t>את</w:t>
      </w:r>
      <w:r w:rsidRPr="000044D2">
        <w:rPr>
          <w:spacing w:val="8"/>
          <w:rtl/>
        </w:rPr>
        <w:t xml:space="preserve"> </w:t>
      </w:r>
      <w:r w:rsidRPr="000044D2">
        <w:rPr>
          <w:rFonts w:hint="eastAsia"/>
          <w:spacing w:val="8"/>
          <w:rtl/>
        </w:rPr>
        <w:t>הדעת</w:t>
      </w:r>
      <w:r w:rsidRPr="000044D2">
        <w:rPr>
          <w:spacing w:val="8"/>
          <w:rtl/>
        </w:rPr>
        <w:t xml:space="preserve"> </w:t>
      </w:r>
      <w:r w:rsidRPr="000044D2">
        <w:rPr>
          <w:rFonts w:hint="eastAsia"/>
          <w:spacing w:val="8"/>
          <w:rtl/>
        </w:rPr>
        <w:t>על</w:t>
      </w:r>
      <w:r w:rsidRPr="000044D2">
        <w:rPr>
          <w:spacing w:val="8"/>
          <w:rtl/>
        </w:rPr>
        <w:t xml:space="preserve"> </w:t>
      </w:r>
      <w:r w:rsidRPr="000044D2">
        <w:rPr>
          <w:rFonts w:hint="eastAsia"/>
          <w:spacing w:val="8"/>
          <w:rtl/>
        </w:rPr>
        <w:t>מכלול</w:t>
      </w:r>
      <w:r w:rsidRPr="000044D2">
        <w:rPr>
          <w:spacing w:val="8"/>
          <w:rtl/>
        </w:rPr>
        <w:t xml:space="preserve"> </w:t>
      </w:r>
      <w:r w:rsidRPr="000044D2">
        <w:rPr>
          <w:rFonts w:hint="eastAsia"/>
          <w:spacing w:val="8"/>
          <w:rtl/>
        </w:rPr>
        <w:t>הנסיבות</w:t>
      </w:r>
      <w:r w:rsidRPr="000044D2">
        <w:rPr>
          <w:spacing w:val="8"/>
          <w:rtl/>
        </w:rPr>
        <w:t xml:space="preserve"> </w:t>
      </w:r>
      <w:r w:rsidRPr="000044D2">
        <w:rPr>
          <w:rFonts w:hint="eastAsia"/>
          <w:spacing w:val="8"/>
          <w:rtl/>
        </w:rPr>
        <w:t>הרלוונטיות</w:t>
      </w:r>
      <w:r w:rsidRPr="000044D2">
        <w:rPr>
          <w:spacing w:val="8"/>
          <w:rtl/>
        </w:rPr>
        <w:t xml:space="preserve">, </w:t>
      </w:r>
      <w:r w:rsidRPr="000044D2">
        <w:rPr>
          <w:rFonts w:hint="eastAsia"/>
          <w:spacing w:val="8"/>
          <w:rtl/>
        </w:rPr>
        <w:t>שעשויות</w:t>
      </w:r>
      <w:r w:rsidRPr="000044D2">
        <w:rPr>
          <w:spacing w:val="8"/>
          <w:rtl/>
        </w:rPr>
        <w:t xml:space="preserve"> </w:t>
      </w:r>
      <w:r w:rsidRPr="000044D2">
        <w:rPr>
          <w:rFonts w:hint="eastAsia"/>
          <w:spacing w:val="8"/>
          <w:rtl/>
        </w:rPr>
        <w:t>להשתנות</w:t>
      </w:r>
      <w:r w:rsidRPr="000044D2">
        <w:rPr>
          <w:spacing w:val="8"/>
          <w:rtl/>
        </w:rPr>
        <w:t xml:space="preserve"> </w:t>
      </w:r>
      <w:r w:rsidRPr="000044D2">
        <w:rPr>
          <w:rFonts w:hint="eastAsia"/>
          <w:spacing w:val="8"/>
          <w:rtl/>
        </w:rPr>
        <w:t>ממקרה</w:t>
      </w:r>
      <w:r w:rsidRPr="000044D2">
        <w:rPr>
          <w:spacing w:val="8"/>
          <w:rtl/>
        </w:rPr>
        <w:t xml:space="preserve"> </w:t>
      </w:r>
      <w:r w:rsidRPr="000044D2">
        <w:rPr>
          <w:rFonts w:hint="eastAsia"/>
          <w:spacing w:val="8"/>
          <w:rtl/>
        </w:rPr>
        <w:t>למקרה</w:t>
      </w:r>
      <w:r w:rsidRPr="000044D2">
        <w:rPr>
          <w:spacing w:val="8"/>
          <w:rtl/>
        </w:rPr>
        <w:t>" (</w:t>
      </w:r>
      <w:r w:rsidRPr="000044D2">
        <w:rPr>
          <w:rFonts w:hint="eastAsia"/>
          <w:spacing w:val="8"/>
          <w:rtl/>
        </w:rPr>
        <w:t>עמ</w:t>
      </w:r>
      <w:r w:rsidRPr="000044D2">
        <w:rPr>
          <w:spacing w:val="8"/>
          <w:rtl/>
        </w:rPr>
        <w:t xml:space="preserve">' 37 </w:t>
      </w:r>
      <w:r w:rsidRPr="000044D2">
        <w:rPr>
          <w:rFonts w:hint="eastAsia"/>
          <w:spacing w:val="8"/>
          <w:rtl/>
        </w:rPr>
        <w:t>לפסק</w:t>
      </w:r>
      <w:r w:rsidRPr="000044D2">
        <w:rPr>
          <w:spacing w:val="8"/>
          <w:rtl/>
        </w:rPr>
        <w:t xml:space="preserve"> </w:t>
      </w:r>
      <w:r w:rsidRPr="000044D2">
        <w:rPr>
          <w:rFonts w:hint="eastAsia"/>
          <w:spacing w:val="8"/>
          <w:rtl/>
        </w:rPr>
        <w:t>דינו</w:t>
      </w:r>
      <w:r w:rsidRPr="000044D2">
        <w:rPr>
          <w:spacing w:val="8"/>
          <w:rtl/>
        </w:rPr>
        <w:t xml:space="preserve"> </w:t>
      </w:r>
      <w:r w:rsidRPr="000044D2">
        <w:rPr>
          <w:rFonts w:hint="eastAsia"/>
          <w:spacing w:val="8"/>
          <w:rtl/>
        </w:rPr>
        <w:t>של</w:t>
      </w:r>
      <w:r w:rsidRPr="000044D2">
        <w:rPr>
          <w:spacing w:val="8"/>
          <w:rtl/>
        </w:rPr>
        <w:t xml:space="preserve"> </w:t>
      </w:r>
      <w:r w:rsidRPr="000044D2">
        <w:rPr>
          <w:rFonts w:hint="eastAsia"/>
          <w:spacing w:val="8"/>
          <w:rtl/>
        </w:rPr>
        <w:t>בית</w:t>
      </w:r>
      <w:r w:rsidRPr="000044D2">
        <w:rPr>
          <w:spacing w:val="8"/>
          <w:rtl/>
        </w:rPr>
        <w:t xml:space="preserve"> </w:t>
      </w:r>
      <w:r w:rsidRPr="000044D2">
        <w:rPr>
          <w:rFonts w:hint="eastAsia"/>
          <w:spacing w:val="8"/>
          <w:rtl/>
        </w:rPr>
        <w:t>המשפט</w:t>
      </w:r>
      <w:r w:rsidRPr="000044D2">
        <w:rPr>
          <w:spacing w:val="8"/>
          <w:rtl/>
        </w:rPr>
        <w:t xml:space="preserve"> </w:t>
      </w:r>
      <w:r w:rsidRPr="000044D2">
        <w:rPr>
          <w:rFonts w:hint="eastAsia"/>
          <w:spacing w:val="8"/>
          <w:rtl/>
        </w:rPr>
        <w:t>המחוזי</w:t>
      </w:r>
      <w:r w:rsidRPr="000044D2">
        <w:rPr>
          <w:spacing w:val="8"/>
          <w:rtl/>
        </w:rPr>
        <w:t>)</w:t>
      </w:r>
      <w:r w:rsidRPr="000044D2">
        <w:rPr>
          <w:rFonts w:hint="cs"/>
          <w:spacing w:val="8"/>
          <w:rtl/>
        </w:rPr>
        <w:t>.</w:t>
      </w:r>
    </w:p>
    <w:p w:rsidR="000F3C05" w:rsidRDefault="000F3C05" w:rsidP="000F3C05">
      <w:pPr>
        <w:pStyle w:val="af6"/>
        <w:rPr>
          <w:rtl/>
        </w:rPr>
      </w:pPr>
      <w:r>
        <w:rPr>
          <w:rtl/>
        </w:rPr>
        <w:tab/>
      </w:r>
      <w:r>
        <w:rPr>
          <w:rFonts w:hint="cs"/>
          <w:rtl/>
        </w:rPr>
        <w:t xml:space="preserve">מסקנה זו מוקשית. היא אינה מתיישבת עם המגמה הקיימת להעדיף נקיטה באמצעים חלופיים שהינם פוגעניים פחות ביחס להליך הפלילי, להשגת התכליות שהדין הפלילי מבקש לממש; והיא מעוררת קשיים </w:t>
      </w:r>
      <w:r w:rsidR="00B45CD7">
        <w:rPr>
          <w:rFonts w:hint="cs"/>
          <w:rtl/>
        </w:rPr>
        <w:t xml:space="preserve">מעשיים </w:t>
      </w:r>
      <w:r>
        <w:rPr>
          <w:rFonts w:hint="cs"/>
          <w:rtl/>
        </w:rPr>
        <w:t xml:space="preserve">משמעותיים: כיצד יידע עובד הציבור מתי נחצה אותו חבל דק, באופן שבו הוא עתיד לעמוד לדין פלילי בגין מעשיו? מהו אותו "מכלול נסיבות רלוונטיות" בכל הנוגע לצבירת התנהגויות שאינן פליליות </w:t>
      </w:r>
      <w:r>
        <w:rPr>
          <w:rFonts w:hint="cs"/>
          <w:rtl/>
        </w:rPr>
        <w:lastRenderedPageBreak/>
        <w:t>לכדי איסור פלילי? על כך לא מספק פסק הדין תשובה, ולא בכדי. נדמה שתשובה מסוג זה יכולה להינתן רק בידי המחוקק.</w:t>
      </w:r>
      <w:r>
        <w:rPr>
          <w:rtl/>
        </w:rPr>
        <w:tab/>
      </w:r>
    </w:p>
    <w:p w:rsidR="000F3C05" w:rsidRDefault="000F3C05" w:rsidP="000F3C05">
      <w:pPr>
        <w:pStyle w:val="a"/>
        <w:rPr>
          <w:rtl/>
        </w:rPr>
      </w:pPr>
      <w:r>
        <w:rPr>
          <w:rFonts w:hint="cs"/>
          <w:rtl/>
        </w:rPr>
        <w:t>יודגש: בית המשפט המחוזי הבהיר הבהר היטב כי מעורבות מצד המבקש במערכת יחסים אחת כזו לא הייתה מקימה לבדה את העבירה הפלילית של מרמה והפרת אמונים, אלא "היקף מעשיו" הוא הנסיבה הגורמת להם לחצות את הרף המבחין גבולות הדין המשמעתי לגבולות הדין הפלילי. כך, בית המשפט המחוזי קבע כי:</w:t>
      </w:r>
    </w:p>
    <w:p w:rsidR="000F3C05" w:rsidRDefault="000F3C05" w:rsidP="000F3C05">
      <w:pPr>
        <w:pStyle w:val="af2"/>
        <w:rPr>
          <w:rtl/>
        </w:rPr>
      </w:pPr>
      <w:r>
        <w:rPr>
          <w:rtl/>
        </w:rPr>
        <w:t>"</w:t>
      </w:r>
      <w:r>
        <w:rPr>
          <w:rFonts w:hint="cs"/>
          <w:rtl/>
        </w:rPr>
        <w:t xml:space="preserve">יש להתחשב בהיקף מעשיו של שחם. כפי שנקבע בהכרעת הדין שחם יצר קשרים בעלי אופי מיני עם שמונה שוטרות שונות. עם חמש מתוכן קיים יחסים אינטימיים. </w:t>
      </w:r>
      <w:r w:rsidRPr="00C63631">
        <w:rPr>
          <w:rFonts w:ascii="Century" w:hAnsi="Century" w:cs="Miriam" w:hint="eastAsia"/>
          <w:b/>
          <w:spacing w:val="0"/>
          <w:szCs w:val="24"/>
          <w:rtl/>
        </w:rPr>
        <w:t>בכך</w:t>
      </w:r>
      <w:r w:rsidRPr="00C63631">
        <w:rPr>
          <w:rFonts w:ascii="Century" w:hAnsi="Century" w:cs="Miriam"/>
          <w:b/>
          <w:spacing w:val="0"/>
          <w:szCs w:val="24"/>
          <w:rtl/>
        </w:rPr>
        <w:t xml:space="preserve"> </w:t>
      </w:r>
      <w:r w:rsidRPr="00C63631">
        <w:rPr>
          <w:rFonts w:ascii="Century" w:hAnsi="Century" w:cs="Miriam" w:hint="eastAsia"/>
          <w:b/>
          <w:spacing w:val="0"/>
          <w:szCs w:val="24"/>
          <w:rtl/>
        </w:rPr>
        <w:t>יש</w:t>
      </w:r>
      <w:r w:rsidRPr="00C63631">
        <w:rPr>
          <w:rFonts w:ascii="Century" w:hAnsi="Century" w:cs="Miriam"/>
          <w:b/>
          <w:spacing w:val="0"/>
          <w:szCs w:val="24"/>
          <w:rtl/>
        </w:rPr>
        <w:t xml:space="preserve"> </w:t>
      </w:r>
      <w:r w:rsidRPr="00C63631">
        <w:rPr>
          <w:rFonts w:ascii="Century" w:hAnsi="Century" w:cs="Miriam" w:hint="eastAsia"/>
          <w:b/>
          <w:spacing w:val="0"/>
          <w:szCs w:val="24"/>
          <w:rtl/>
        </w:rPr>
        <w:t>כדי</w:t>
      </w:r>
      <w:r w:rsidRPr="00C63631">
        <w:rPr>
          <w:rFonts w:ascii="Century" w:hAnsi="Century" w:cs="Miriam"/>
          <w:b/>
          <w:spacing w:val="0"/>
          <w:szCs w:val="24"/>
          <w:rtl/>
        </w:rPr>
        <w:t xml:space="preserve"> </w:t>
      </w:r>
      <w:r w:rsidRPr="00C63631">
        <w:rPr>
          <w:rFonts w:ascii="Century" w:hAnsi="Century" w:cs="Miriam" w:hint="eastAsia"/>
          <w:b/>
          <w:spacing w:val="0"/>
          <w:szCs w:val="24"/>
          <w:rtl/>
        </w:rPr>
        <w:t>להעיד</w:t>
      </w:r>
      <w:r w:rsidRPr="00C63631">
        <w:rPr>
          <w:rFonts w:ascii="Century" w:hAnsi="Century" w:cs="Miriam"/>
          <w:b/>
          <w:spacing w:val="0"/>
          <w:szCs w:val="24"/>
          <w:rtl/>
        </w:rPr>
        <w:t xml:space="preserve"> </w:t>
      </w:r>
      <w:r w:rsidRPr="00C63631">
        <w:rPr>
          <w:rFonts w:ascii="Century" w:hAnsi="Century" w:cs="Miriam" w:hint="eastAsia"/>
          <w:b/>
          <w:spacing w:val="0"/>
          <w:szCs w:val="24"/>
          <w:rtl/>
        </w:rPr>
        <w:t>שלא</w:t>
      </w:r>
      <w:r w:rsidRPr="00C63631">
        <w:rPr>
          <w:rFonts w:ascii="Century" w:hAnsi="Century" w:cs="Miriam"/>
          <w:b/>
          <w:spacing w:val="0"/>
          <w:szCs w:val="24"/>
          <w:rtl/>
        </w:rPr>
        <w:t xml:space="preserve"> </w:t>
      </w:r>
      <w:r w:rsidRPr="00C63631">
        <w:rPr>
          <w:rFonts w:ascii="Century" w:hAnsi="Century" w:cs="Miriam" w:hint="eastAsia"/>
          <w:b/>
          <w:spacing w:val="0"/>
          <w:szCs w:val="24"/>
          <w:rtl/>
        </w:rPr>
        <w:t>מדובר</w:t>
      </w:r>
      <w:r w:rsidRPr="00C63631">
        <w:rPr>
          <w:rFonts w:ascii="Century" w:hAnsi="Century" w:cs="Miriam"/>
          <w:b/>
          <w:spacing w:val="0"/>
          <w:szCs w:val="24"/>
          <w:rtl/>
        </w:rPr>
        <w:t xml:space="preserve"> </w:t>
      </w:r>
      <w:r w:rsidRPr="00C63631">
        <w:rPr>
          <w:rFonts w:ascii="Century" w:hAnsi="Century" w:cs="Miriam" w:hint="eastAsia"/>
          <w:b/>
          <w:spacing w:val="0"/>
          <w:szCs w:val="24"/>
          <w:rtl/>
        </w:rPr>
        <w:t>במקרה</w:t>
      </w:r>
      <w:r w:rsidRPr="00C63631">
        <w:rPr>
          <w:rFonts w:ascii="Century" w:hAnsi="Century" w:cs="Miriam"/>
          <w:b/>
          <w:spacing w:val="0"/>
          <w:szCs w:val="24"/>
          <w:rtl/>
        </w:rPr>
        <w:t xml:space="preserve"> </w:t>
      </w:r>
      <w:r w:rsidRPr="00C63631">
        <w:rPr>
          <w:rFonts w:ascii="Century" w:hAnsi="Century" w:cs="Miriam" w:hint="eastAsia"/>
          <w:b/>
          <w:spacing w:val="0"/>
          <w:szCs w:val="24"/>
          <w:rtl/>
        </w:rPr>
        <w:t>בודד</w:t>
      </w:r>
      <w:r w:rsidRPr="00C63631">
        <w:rPr>
          <w:rFonts w:ascii="Century" w:hAnsi="Century" w:cs="Miriam"/>
          <w:b/>
          <w:spacing w:val="0"/>
          <w:szCs w:val="24"/>
          <w:rtl/>
        </w:rPr>
        <w:t xml:space="preserve"> </w:t>
      </w:r>
      <w:r w:rsidRPr="00C63631">
        <w:rPr>
          <w:rFonts w:ascii="Century" w:hAnsi="Century" w:cs="Miriam" w:hint="eastAsia"/>
          <w:b/>
          <w:spacing w:val="0"/>
          <w:szCs w:val="24"/>
          <w:rtl/>
        </w:rPr>
        <w:t>של</w:t>
      </w:r>
      <w:r w:rsidRPr="00C63631">
        <w:rPr>
          <w:rFonts w:ascii="Century" w:hAnsi="Century" w:cs="Miriam"/>
          <w:b/>
          <w:spacing w:val="0"/>
          <w:szCs w:val="24"/>
          <w:rtl/>
        </w:rPr>
        <w:t xml:space="preserve"> </w:t>
      </w:r>
      <w:r w:rsidRPr="00C63631">
        <w:rPr>
          <w:rFonts w:ascii="Century" w:hAnsi="Century" w:cs="Miriam" w:hint="eastAsia"/>
          <w:b/>
          <w:spacing w:val="0"/>
          <w:szCs w:val="24"/>
          <w:rtl/>
        </w:rPr>
        <w:t>קשר</w:t>
      </w:r>
      <w:r w:rsidRPr="00C63631">
        <w:rPr>
          <w:rFonts w:ascii="Century" w:hAnsi="Century" w:cs="Miriam"/>
          <w:b/>
          <w:spacing w:val="0"/>
          <w:szCs w:val="24"/>
          <w:rtl/>
        </w:rPr>
        <w:t xml:space="preserve"> </w:t>
      </w:r>
      <w:r w:rsidRPr="00C63631">
        <w:rPr>
          <w:rFonts w:ascii="Century" w:hAnsi="Century" w:cs="Miriam" w:hint="eastAsia"/>
          <w:b/>
          <w:spacing w:val="0"/>
          <w:szCs w:val="24"/>
          <w:rtl/>
        </w:rPr>
        <w:t>אינטימי</w:t>
      </w:r>
      <w:r w:rsidRPr="00C63631">
        <w:rPr>
          <w:rFonts w:ascii="Century" w:hAnsi="Century" w:cs="Miriam"/>
          <w:b/>
          <w:spacing w:val="0"/>
          <w:szCs w:val="24"/>
          <w:rtl/>
        </w:rPr>
        <w:t xml:space="preserve"> </w:t>
      </w:r>
      <w:r w:rsidRPr="00C63631">
        <w:rPr>
          <w:rFonts w:ascii="Century" w:hAnsi="Century" w:cs="Miriam" w:hint="eastAsia"/>
          <w:b/>
          <w:spacing w:val="0"/>
          <w:szCs w:val="24"/>
          <w:rtl/>
        </w:rPr>
        <w:t>חד</w:t>
      </w:r>
      <w:r w:rsidRPr="00C63631">
        <w:rPr>
          <w:rFonts w:ascii="Century" w:hAnsi="Century" w:cs="Miriam"/>
          <w:b/>
          <w:spacing w:val="0"/>
          <w:szCs w:val="24"/>
          <w:rtl/>
        </w:rPr>
        <w:t xml:space="preserve"> </w:t>
      </w:r>
      <w:r w:rsidRPr="00C63631">
        <w:rPr>
          <w:rFonts w:ascii="Century" w:hAnsi="Century" w:cs="Miriam" w:hint="eastAsia"/>
          <w:b/>
          <w:spacing w:val="0"/>
          <w:szCs w:val="24"/>
          <w:rtl/>
        </w:rPr>
        <w:t>פעמי</w:t>
      </w:r>
      <w:r w:rsidRPr="00C63631">
        <w:rPr>
          <w:rFonts w:ascii="Century" w:hAnsi="Century" w:cs="Miriam"/>
          <w:b/>
          <w:spacing w:val="0"/>
          <w:szCs w:val="24"/>
          <w:rtl/>
        </w:rPr>
        <w:t xml:space="preserve">, </w:t>
      </w:r>
      <w:r w:rsidRPr="00C63631">
        <w:rPr>
          <w:rFonts w:ascii="Century" w:hAnsi="Century" w:cs="Miriam" w:hint="eastAsia"/>
          <w:b/>
          <w:spacing w:val="0"/>
          <w:szCs w:val="24"/>
          <w:rtl/>
        </w:rPr>
        <w:t>בבחינת</w:t>
      </w:r>
      <w:r w:rsidRPr="00C63631">
        <w:rPr>
          <w:rFonts w:ascii="Century" w:hAnsi="Century" w:cs="Miriam"/>
          <w:b/>
          <w:spacing w:val="0"/>
          <w:szCs w:val="24"/>
          <w:rtl/>
        </w:rPr>
        <w:t xml:space="preserve"> </w:t>
      </w:r>
      <w:r w:rsidRPr="00C63631">
        <w:rPr>
          <w:rFonts w:ascii="Century" w:hAnsi="Century" w:cs="Miriam" w:hint="eastAsia"/>
          <w:b/>
          <w:spacing w:val="0"/>
          <w:szCs w:val="24"/>
          <w:rtl/>
        </w:rPr>
        <w:t>אפיזודה</w:t>
      </w:r>
      <w:r w:rsidRPr="00C63631">
        <w:rPr>
          <w:rFonts w:ascii="Century" w:hAnsi="Century" w:cs="Miriam"/>
          <w:b/>
          <w:spacing w:val="0"/>
          <w:szCs w:val="24"/>
          <w:rtl/>
        </w:rPr>
        <w:t xml:space="preserve"> </w:t>
      </w:r>
      <w:r w:rsidRPr="00C63631">
        <w:rPr>
          <w:rFonts w:ascii="Century" w:hAnsi="Century" w:cs="Miriam" w:hint="eastAsia"/>
          <w:b/>
          <w:spacing w:val="0"/>
          <w:szCs w:val="24"/>
          <w:rtl/>
        </w:rPr>
        <w:t>חולפת</w:t>
      </w:r>
      <w:r w:rsidRPr="00C63631">
        <w:rPr>
          <w:rFonts w:ascii="Century" w:hAnsi="Century" w:cs="Miriam"/>
          <w:b/>
          <w:spacing w:val="0"/>
          <w:szCs w:val="24"/>
          <w:rtl/>
        </w:rPr>
        <w:t xml:space="preserve">, </w:t>
      </w:r>
      <w:r w:rsidRPr="00C63631">
        <w:rPr>
          <w:rFonts w:ascii="Century" w:hAnsi="Century" w:cs="Miriam" w:hint="eastAsia"/>
          <w:b/>
          <w:spacing w:val="0"/>
          <w:szCs w:val="24"/>
          <w:rtl/>
        </w:rPr>
        <w:t>אלא</w:t>
      </w:r>
      <w:r w:rsidRPr="00C63631">
        <w:rPr>
          <w:rFonts w:ascii="Century" w:hAnsi="Century" w:cs="Miriam"/>
          <w:b/>
          <w:spacing w:val="0"/>
          <w:szCs w:val="24"/>
          <w:rtl/>
        </w:rPr>
        <w:t xml:space="preserve"> </w:t>
      </w:r>
      <w:r w:rsidRPr="00C63631">
        <w:rPr>
          <w:rFonts w:ascii="Century" w:hAnsi="Century" w:cs="Miriam" w:hint="eastAsia"/>
          <w:b/>
          <w:spacing w:val="0"/>
          <w:szCs w:val="24"/>
          <w:rtl/>
        </w:rPr>
        <w:t>בהתנהלות</w:t>
      </w:r>
      <w:r w:rsidRPr="00C63631">
        <w:rPr>
          <w:rFonts w:ascii="Century" w:hAnsi="Century" w:cs="Miriam"/>
          <w:b/>
          <w:spacing w:val="0"/>
          <w:szCs w:val="24"/>
          <w:rtl/>
        </w:rPr>
        <w:t xml:space="preserve"> </w:t>
      </w:r>
      <w:r w:rsidRPr="00C63631">
        <w:rPr>
          <w:rFonts w:ascii="Century" w:hAnsi="Century" w:cs="Miriam" w:hint="eastAsia"/>
          <w:b/>
          <w:spacing w:val="0"/>
          <w:szCs w:val="24"/>
          <w:rtl/>
        </w:rPr>
        <w:t>חוזרת</w:t>
      </w:r>
      <w:r w:rsidRPr="00C63631">
        <w:rPr>
          <w:rFonts w:ascii="Century" w:hAnsi="Century" w:cs="Miriam"/>
          <w:b/>
          <w:spacing w:val="0"/>
          <w:szCs w:val="24"/>
          <w:rtl/>
        </w:rPr>
        <w:t xml:space="preserve"> </w:t>
      </w:r>
      <w:r w:rsidRPr="00C63631">
        <w:rPr>
          <w:rFonts w:ascii="Century" w:hAnsi="Century" w:cs="Miriam" w:hint="eastAsia"/>
          <w:b/>
          <w:spacing w:val="0"/>
          <w:szCs w:val="24"/>
          <w:rtl/>
        </w:rPr>
        <w:t>ונשנית</w:t>
      </w:r>
      <w:r w:rsidRPr="00C63631">
        <w:rPr>
          <w:rtl/>
        </w:rPr>
        <w:t xml:space="preserve"> – </w:t>
      </w:r>
      <w:r w:rsidRPr="00C63631">
        <w:rPr>
          <w:rFonts w:hint="eastAsia"/>
          <w:rtl/>
        </w:rPr>
        <w:t>מספר</w:t>
      </w:r>
      <w:r w:rsidRPr="00C63631">
        <w:rPr>
          <w:rtl/>
        </w:rPr>
        <w:t xml:space="preserve"> </w:t>
      </w:r>
      <w:r w:rsidRPr="00C63631">
        <w:rPr>
          <w:rFonts w:hint="eastAsia"/>
          <w:rtl/>
        </w:rPr>
        <w:t>רב</w:t>
      </w:r>
      <w:r w:rsidRPr="00C63631">
        <w:rPr>
          <w:rtl/>
        </w:rPr>
        <w:t xml:space="preserve"> </w:t>
      </w:r>
      <w:r w:rsidRPr="00C63631">
        <w:rPr>
          <w:rFonts w:hint="eastAsia"/>
          <w:rtl/>
        </w:rPr>
        <w:t>של</w:t>
      </w:r>
      <w:r w:rsidRPr="00C63631">
        <w:rPr>
          <w:rtl/>
        </w:rPr>
        <w:t xml:space="preserve"> </w:t>
      </w:r>
      <w:r w:rsidRPr="00C63631">
        <w:rPr>
          <w:rFonts w:hint="eastAsia"/>
          <w:rtl/>
        </w:rPr>
        <w:t>פעמים</w:t>
      </w:r>
      <w:r w:rsidRPr="00C63631">
        <w:rPr>
          <w:rtl/>
        </w:rPr>
        <w:t xml:space="preserve">, </w:t>
      </w:r>
      <w:r w:rsidRPr="00C63631">
        <w:rPr>
          <w:rFonts w:hint="eastAsia"/>
          <w:rtl/>
        </w:rPr>
        <w:t>מול</w:t>
      </w:r>
      <w:r w:rsidRPr="00C63631">
        <w:rPr>
          <w:rtl/>
        </w:rPr>
        <w:t xml:space="preserve"> </w:t>
      </w:r>
      <w:r w:rsidRPr="00C63631">
        <w:rPr>
          <w:rFonts w:hint="eastAsia"/>
          <w:rtl/>
        </w:rPr>
        <w:t>מספר</w:t>
      </w:r>
      <w:r w:rsidRPr="00C63631">
        <w:rPr>
          <w:rtl/>
        </w:rPr>
        <w:t xml:space="preserve"> </w:t>
      </w:r>
      <w:r w:rsidRPr="00C63631">
        <w:rPr>
          <w:rFonts w:hint="eastAsia"/>
          <w:rtl/>
        </w:rPr>
        <w:t>שוטרות</w:t>
      </w:r>
      <w:r w:rsidRPr="00C63631">
        <w:rPr>
          <w:rtl/>
        </w:rPr>
        <w:t xml:space="preserve">, </w:t>
      </w:r>
      <w:r w:rsidRPr="00C63631">
        <w:rPr>
          <w:rFonts w:hint="eastAsia"/>
          <w:rtl/>
        </w:rPr>
        <w:t>ש</w:t>
      </w:r>
      <w:r>
        <w:rPr>
          <w:rFonts w:hint="eastAsia"/>
          <w:rtl/>
        </w:rPr>
        <w:t>הייתה</w:t>
      </w:r>
      <w:r w:rsidRPr="00C63631">
        <w:rPr>
          <w:rtl/>
        </w:rPr>
        <w:t xml:space="preserve"> </w:t>
      </w:r>
      <w:r w:rsidRPr="00C63631">
        <w:rPr>
          <w:rFonts w:hint="eastAsia"/>
          <w:rtl/>
        </w:rPr>
        <w:t>גם</w:t>
      </w:r>
      <w:r w:rsidRPr="00C63631">
        <w:rPr>
          <w:rtl/>
        </w:rPr>
        <w:t xml:space="preserve"> </w:t>
      </w:r>
      <w:r w:rsidRPr="00C63631">
        <w:rPr>
          <w:rFonts w:hint="eastAsia"/>
          <w:rtl/>
        </w:rPr>
        <w:t>כרוכה</w:t>
      </w:r>
      <w:r w:rsidRPr="00C63631">
        <w:rPr>
          <w:rtl/>
        </w:rPr>
        <w:t xml:space="preserve"> </w:t>
      </w:r>
      <w:r w:rsidRPr="00C63631">
        <w:rPr>
          <w:rFonts w:hint="eastAsia"/>
          <w:rtl/>
        </w:rPr>
        <w:t>באיסור</w:t>
      </w:r>
      <w:r w:rsidRPr="00C63631">
        <w:rPr>
          <w:rtl/>
        </w:rPr>
        <w:t xml:space="preserve"> </w:t>
      </w:r>
      <w:r w:rsidRPr="00C63631">
        <w:rPr>
          <w:rFonts w:hint="eastAsia"/>
          <w:rtl/>
        </w:rPr>
        <w:t>משמעתי</w:t>
      </w:r>
      <w:r w:rsidRPr="00C63631">
        <w:rPr>
          <w:rtl/>
        </w:rPr>
        <w:t>" (</w:t>
      </w:r>
      <w:r w:rsidRPr="00C63631">
        <w:rPr>
          <w:rFonts w:hint="eastAsia"/>
          <w:rtl/>
        </w:rPr>
        <w:t>עמ</w:t>
      </w:r>
      <w:r w:rsidRPr="00C63631">
        <w:rPr>
          <w:rtl/>
        </w:rPr>
        <w:t xml:space="preserve">' 46 </w:t>
      </w:r>
      <w:r w:rsidRPr="00C63631">
        <w:rPr>
          <w:rFonts w:hint="eastAsia"/>
          <w:rtl/>
        </w:rPr>
        <w:t>לפסק</w:t>
      </w:r>
      <w:r w:rsidRPr="00C63631">
        <w:rPr>
          <w:rtl/>
        </w:rPr>
        <w:t xml:space="preserve"> </w:t>
      </w:r>
      <w:r w:rsidRPr="00C63631">
        <w:rPr>
          <w:rFonts w:hint="eastAsia"/>
          <w:rtl/>
        </w:rPr>
        <w:t>דינו</w:t>
      </w:r>
      <w:r w:rsidRPr="00C63631">
        <w:rPr>
          <w:rtl/>
        </w:rPr>
        <w:t xml:space="preserve"> </w:t>
      </w:r>
      <w:r w:rsidRPr="00C63631">
        <w:rPr>
          <w:rFonts w:hint="eastAsia"/>
          <w:rtl/>
        </w:rPr>
        <w:t>של</w:t>
      </w:r>
      <w:r w:rsidRPr="00C63631">
        <w:rPr>
          <w:rtl/>
        </w:rPr>
        <w:t xml:space="preserve"> </w:t>
      </w:r>
      <w:r w:rsidRPr="00C63631">
        <w:rPr>
          <w:rFonts w:hint="eastAsia"/>
          <w:rtl/>
        </w:rPr>
        <w:t>בית</w:t>
      </w:r>
      <w:r w:rsidRPr="00C63631">
        <w:rPr>
          <w:rtl/>
        </w:rPr>
        <w:t xml:space="preserve"> </w:t>
      </w:r>
      <w:r w:rsidRPr="00C63631">
        <w:rPr>
          <w:rFonts w:hint="eastAsia"/>
          <w:rtl/>
        </w:rPr>
        <w:t>המשפט</w:t>
      </w:r>
      <w:r w:rsidRPr="00C63631">
        <w:rPr>
          <w:rtl/>
        </w:rPr>
        <w:t xml:space="preserve"> </w:t>
      </w:r>
      <w:r w:rsidRPr="00C63631">
        <w:rPr>
          <w:rFonts w:hint="eastAsia"/>
          <w:rtl/>
        </w:rPr>
        <w:t>המחוזי</w:t>
      </w:r>
      <w:r>
        <w:rPr>
          <w:rFonts w:hint="cs"/>
          <w:rtl/>
        </w:rPr>
        <w:t xml:space="preserve">; ההדגשה הוספה </w:t>
      </w:r>
      <w:r>
        <w:rPr>
          <w:rtl/>
        </w:rPr>
        <w:t>–</w:t>
      </w:r>
      <w:r>
        <w:rPr>
          <w:rFonts w:hint="cs"/>
          <w:rtl/>
        </w:rPr>
        <w:t xml:space="preserve"> </w:t>
      </w:r>
      <w:r w:rsidRPr="00C87AE1">
        <w:rPr>
          <w:rFonts w:ascii="Century" w:hAnsi="Century" w:cs="Miriam" w:hint="cs"/>
          <w:b/>
          <w:spacing w:val="0"/>
          <w:szCs w:val="24"/>
          <w:rtl/>
        </w:rPr>
        <w:t>י' א'</w:t>
      </w:r>
      <w:r w:rsidRPr="00C63631">
        <w:rPr>
          <w:rtl/>
        </w:rPr>
        <w:t>).</w:t>
      </w:r>
    </w:p>
    <w:p w:rsidR="000F3C05" w:rsidRDefault="000F3C05" w:rsidP="000F3C05">
      <w:pPr>
        <w:pStyle w:val="af6"/>
        <w:rPr>
          <w:rtl/>
        </w:rPr>
      </w:pPr>
      <w:r>
        <w:rPr>
          <w:rtl/>
        </w:rPr>
        <w:tab/>
      </w:r>
      <w:r>
        <w:rPr>
          <w:rFonts w:hint="cs"/>
          <w:rtl/>
        </w:rPr>
        <w:t>ברור אפוא כי הרשעת המבקש בדין נסמכה על ההנחה כי הישנות המעשים והצטברותם מצדיקה את חציית הסף הפלילי. הנחה זו מוטעית היא. כל עוד אין לראות בקיום מערכת יחסים אינטימית אחת בלבד בין בכיר לעובדת הכפופה לו משום ניגוד עניינים החוצה את הרף הפלילי, הרי שהצטברותן יחדיו אף היא אינה בגדר מעשה פלילי. בכך אין כמובן כדי להעיד דבר וחצי דבר על אופיים הבזוי של המעשים מבחינה מוסרית, או על כך שהם מגבשים עבירה בדין המשמעתי; אך הגבול בין אלו לבין הדין הפלילי צריך להישמר, ואין בהצטברות המקרים לבדה כדי להצדיק את חצייתו.</w:t>
      </w:r>
    </w:p>
    <w:p w:rsidR="000F3C05" w:rsidRDefault="000F3C05" w:rsidP="000F3C05">
      <w:pPr>
        <w:pStyle w:val="a"/>
        <w:rPr>
          <w:rtl/>
        </w:rPr>
      </w:pPr>
      <w:r>
        <w:rPr>
          <w:rFonts w:hint="cs"/>
          <w:rtl/>
        </w:rPr>
        <w:t xml:space="preserve">לנוכח האמור, משהרשעת המבקש בעבירה של </w:t>
      </w:r>
      <w:r w:rsidRPr="005500BA">
        <w:rPr>
          <w:rFonts w:ascii="Century" w:hAnsi="Century" w:cs="Miriam" w:hint="cs"/>
          <w:b/>
          <w:spacing w:val="0"/>
          <w:sz w:val="22"/>
          <w:szCs w:val="24"/>
          <w:rtl/>
        </w:rPr>
        <w:t>מרמה והפרת אמונים</w:t>
      </w:r>
      <w:r>
        <w:rPr>
          <w:rFonts w:hint="cs"/>
          <w:rtl/>
        </w:rPr>
        <w:t xml:space="preserve"> התבססה על "דפוס התנהגותו" הכולל צבר מעשים שאינם אסורים על פי הדין הפלילי </w:t>
      </w:r>
      <w:r>
        <w:rPr>
          <w:rtl/>
        </w:rPr>
        <w:t>–</w:t>
      </w:r>
      <w:r>
        <w:rPr>
          <w:rFonts w:hint="cs"/>
          <w:rtl/>
        </w:rPr>
        <w:t xml:space="preserve"> כך על פי פסק דינו של בית המשפט המחוזי, שהרשיעו בדין </w:t>
      </w:r>
      <w:r>
        <w:rPr>
          <w:rtl/>
        </w:rPr>
        <w:t>–</w:t>
      </w:r>
      <w:r>
        <w:rPr>
          <w:rFonts w:hint="cs"/>
          <w:rtl/>
        </w:rPr>
        <w:t xml:space="preserve"> ומשהוברר כעת כי בסיס זה נשמט, הרי שאין לנו אלא לזכותו מעבירה זו.</w:t>
      </w:r>
    </w:p>
    <w:p w:rsidR="000F3C05" w:rsidRDefault="000F3C05" w:rsidP="000F3C05">
      <w:pPr>
        <w:pStyle w:val="a"/>
        <w:rPr>
          <w:rtl/>
        </w:rPr>
      </w:pPr>
      <w:bookmarkStart w:id="6" w:name="_Ref65672490"/>
      <w:r>
        <w:rPr>
          <w:rFonts w:hint="cs"/>
          <w:rtl/>
        </w:rPr>
        <w:t>יתכן כי בנסיבות אחרות מן הראוי היה להשיב את התיק לבית משפט השלום על מנת שיגזור מחדש את דינו של המבקש, לאחר זיכויו מאחת העבירות בהן הורשע. ואולם, תהיה בכך מידה לא מבוטלת של עינוי דין כלפי המבקש, שמשפטו החל עוד בשנת 2013, ודינו נגזר כבר פעמיים.</w:t>
      </w:r>
      <w:bookmarkEnd w:id="6"/>
      <w:r>
        <w:rPr>
          <w:rFonts w:hint="cs"/>
          <w:rtl/>
        </w:rPr>
        <w:t xml:space="preserve"> </w:t>
      </w:r>
    </w:p>
    <w:p w:rsidR="000F3C05" w:rsidRDefault="000F3C05" w:rsidP="000F3C05">
      <w:pPr>
        <w:pStyle w:val="af6"/>
        <w:rPr>
          <w:rtl/>
        </w:rPr>
      </w:pPr>
      <w:r>
        <w:rPr>
          <w:rtl/>
        </w:rPr>
        <w:lastRenderedPageBreak/>
        <w:tab/>
      </w:r>
      <w:r>
        <w:rPr>
          <w:rFonts w:hint="cs"/>
          <w:rtl/>
        </w:rPr>
        <w:t xml:space="preserve">משכך, ולנוכח מכלול השיקולים הרלוונטיים, אני סבור כי יש להקל בעונשו של המערער ולהטיל עליו עונש של 6 </w:t>
      </w:r>
      <w:r w:rsidRPr="00EA5BE3">
        <w:rPr>
          <w:rFonts w:hint="cs"/>
          <w:rtl/>
        </w:rPr>
        <w:t>חודשי</w:t>
      </w:r>
      <w:r>
        <w:rPr>
          <w:rFonts w:hint="cs"/>
          <w:rtl/>
        </w:rPr>
        <w:t xml:space="preserve"> מאסר בפועל אותם יוכל לשאת בדרך של עבודות שירות, בכפוף להגשת חוות דעת מטעם הממונה על עבודות שירות </w:t>
      </w:r>
      <w:r>
        <w:rPr>
          <w:rtl/>
        </w:rPr>
        <w:t>–</w:t>
      </w:r>
      <w:r>
        <w:rPr>
          <w:rFonts w:hint="cs"/>
          <w:rtl/>
        </w:rPr>
        <w:t xml:space="preserve"> ולאחר שתוגש, יינתן פסק דין משלים. יתר רכיבי הענישה יוותרו בעינם.</w:t>
      </w:r>
    </w:p>
    <w:p w:rsidR="00355F23" w:rsidRDefault="000F3C05" w:rsidP="003C430E">
      <w:pPr>
        <w:pStyle w:val="a"/>
        <w:rPr>
          <w:rtl/>
        </w:rPr>
      </w:pPr>
      <w:r>
        <w:rPr>
          <w:rFonts w:hint="cs"/>
          <w:rtl/>
        </w:rPr>
        <w:t xml:space="preserve">אציע אפוא </w:t>
      </w:r>
      <w:r w:rsidR="005500BA">
        <w:rPr>
          <w:rFonts w:hint="cs"/>
          <w:rtl/>
        </w:rPr>
        <w:t>לחברי ולחברתי</w:t>
      </w:r>
      <w:r>
        <w:rPr>
          <w:rFonts w:hint="cs"/>
          <w:rtl/>
        </w:rPr>
        <w:t xml:space="preserve"> לקבל את הערעור לגופו, באופן ש</w:t>
      </w:r>
      <w:r>
        <w:rPr>
          <w:rFonts w:hint="eastAsia"/>
          <w:rtl/>
        </w:rPr>
        <w:t>המבקש</w:t>
      </w:r>
      <w:r>
        <w:rPr>
          <w:rFonts w:hint="cs"/>
          <w:rtl/>
        </w:rPr>
        <w:t xml:space="preserve"> יזוכה מביצוע העבירה של מרמה והפרת אמונים בה הורשע בבית המשפט המחוזי, תוך שנותיר על כנה את הרשעתו </w:t>
      </w:r>
      <w:r w:rsidRPr="00894D49">
        <w:rPr>
          <w:rFonts w:hint="eastAsia"/>
          <w:rtl/>
        </w:rPr>
        <w:t>בעבירה</w:t>
      </w:r>
      <w:r w:rsidRPr="00894D49">
        <w:rPr>
          <w:rtl/>
        </w:rPr>
        <w:t xml:space="preserve"> </w:t>
      </w:r>
      <w:r w:rsidRPr="00894D49">
        <w:rPr>
          <w:rFonts w:hint="eastAsia"/>
          <w:rtl/>
        </w:rPr>
        <w:t>אחת</w:t>
      </w:r>
      <w:r w:rsidRPr="00894D49">
        <w:rPr>
          <w:rtl/>
        </w:rPr>
        <w:t xml:space="preserve"> </w:t>
      </w:r>
      <w:r w:rsidRPr="00894D49">
        <w:rPr>
          <w:rFonts w:hint="eastAsia"/>
          <w:rtl/>
        </w:rPr>
        <w:t>של</w:t>
      </w:r>
      <w:r w:rsidRPr="00894D49">
        <w:rPr>
          <w:rtl/>
        </w:rPr>
        <w:t xml:space="preserve"> </w:t>
      </w:r>
      <w:r w:rsidRPr="00894D49">
        <w:rPr>
          <w:rFonts w:hint="eastAsia"/>
          <w:rtl/>
        </w:rPr>
        <w:t>מעשה</w:t>
      </w:r>
      <w:r w:rsidRPr="00894D49">
        <w:rPr>
          <w:rtl/>
        </w:rPr>
        <w:t xml:space="preserve"> </w:t>
      </w:r>
      <w:r w:rsidRPr="00894D49">
        <w:rPr>
          <w:rFonts w:hint="eastAsia"/>
          <w:rtl/>
        </w:rPr>
        <w:t>מגונה</w:t>
      </w:r>
      <w:r>
        <w:rPr>
          <w:rFonts w:hint="cs"/>
          <w:rtl/>
        </w:rPr>
        <w:t xml:space="preserve"> (בה הורשע בבית משפט השלום)</w:t>
      </w:r>
      <w:r w:rsidRPr="00894D49">
        <w:rPr>
          <w:rtl/>
        </w:rPr>
        <w:t xml:space="preserve"> </w:t>
      </w:r>
      <w:r w:rsidRPr="00894D49">
        <w:rPr>
          <w:rFonts w:hint="eastAsia"/>
          <w:rtl/>
        </w:rPr>
        <w:t>ובעבירה</w:t>
      </w:r>
      <w:r w:rsidRPr="00894D49">
        <w:rPr>
          <w:rtl/>
        </w:rPr>
        <w:t xml:space="preserve"> </w:t>
      </w:r>
      <w:r w:rsidRPr="00894D49">
        <w:rPr>
          <w:rFonts w:hint="eastAsia"/>
          <w:rtl/>
        </w:rPr>
        <w:t>אחת</w:t>
      </w:r>
      <w:r w:rsidRPr="00894D49">
        <w:rPr>
          <w:rtl/>
        </w:rPr>
        <w:t xml:space="preserve"> </w:t>
      </w:r>
      <w:r w:rsidRPr="00894D49">
        <w:rPr>
          <w:rFonts w:hint="eastAsia"/>
          <w:rtl/>
        </w:rPr>
        <w:t>של</w:t>
      </w:r>
      <w:r w:rsidRPr="00894D49">
        <w:rPr>
          <w:rtl/>
        </w:rPr>
        <w:t xml:space="preserve"> </w:t>
      </w:r>
      <w:r w:rsidRPr="00894D49">
        <w:rPr>
          <w:rFonts w:hint="eastAsia"/>
          <w:rtl/>
        </w:rPr>
        <w:t>הטרדה</w:t>
      </w:r>
      <w:r w:rsidRPr="00894D49">
        <w:rPr>
          <w:rtl/>
        </w:rPr>
        <w:t xml:space="preserve"> </w:t>
      </w:r>
      <w:r w:rsidRPr="00894D49">
        <w:rPr>
          <w:rFonts w:hint="eastAsia"/>
          <w:rtl/>
        </w:rPr>
        <w:t>מינית</w:t>
      </w:r>
      <w:r>
        <w:rPr>
          <w:rFonts w:hint="cs"/>
          <w:rtl/>
        </w:rPr>
        <w:t xml:space="preserve"> (בה הורשע בבית המשפט המחוזי). כן אציע להקל בעונשו של המבקש כאמור </w:t>
      </w:r>
      <w:r w:rsidRPr="000C252B">
        <w:rPr>
          <w:rStyle w:val="af7"/>
          <w:rFonts w:hint="cs"/>
          <w:rtl/>
        </w:rPr>
        <w:t xml:space="preserve">בפסקה </w:t>
      </w:r>
      <w:r w:rsidRPr="00355F23">
        <w:rPr>
          <w:rStyle w:val="af7"/>
          <w:rFonts w:ascii="FrankRuehl" w:hAnsi="FrankRuehl"/>
          <w:sz w:val="28"/>
          <w:rtl/>
        </w:rPr>
        <w:fldChar w:fldCharType="begin"/>
      </w:r>
      <w:r w:rsidRPr="00355F23">
        <w:rPr>
          <w:rStyle w:val="af7"/>
          <w:rFonts w:ascii="FrankRuehl" w:hAnsi="FrankRuehl"/>
          <w:sz w:val="28"/>
          <w:rtl/>
        </w:rPr>
        <w:instrText xml:space="preserve"> </w:instrText>
      </w:r>
      <w:r w:rsidRPr="00355F23">
        <w:rPr>
          <w:rStyle w:val="af7"/>
          <w:rFonts w:ascii="FrankRuehl" w:hAnsi="FrankRuehl" w:hint="cs"/>
          <w:sz w:val="28"/>
        </w:rPr>
        <w:instrText>REF</w:instrText>
      </w:r>
      <w:r w:rsidRPr="00355F23">
        <w:rPr>
          <w:rStyle w:val="af7"/>
          <w:rFonts w:ascii="FrankRuehl" w:hAnsi="FrankRuehl" w:hint="cs"/>
          <w:sz w:val="28"/>
          <w:rtl/>
        </w:rPr>
        <w:instrText xml:space="preserve"> _</w:instrText>
      </w:r>
      <w:r w:rsidRPr="00355F23">
        <w:rPr>
          <w:rStyle w:val="af7"/>
          <w:rFonts w:ascii="FrankRuehl" w:hAnsi="FrankRuehl" w:hint="cs"/>
          <w:sz w:val="28"/>
        </w:rPr>
        <w:instrText>Ref65672490 \r \h</w:instrText>
      </w:r>
      <w:r w:rsidRPr="00355F23">
        <w:rPr>
          <w:rStyle w:val="af7"/>
          <w:rFonts w:ascii="FrankRuehl" w:hAnsi="FrankRuehl"/>
          <w:sz w:val="28"/>
          <w:rtl/>
        </w:rPr>
        <w:instrText xml:space="preserve">  \* </w:instrText>
      </w:r>
      <w:r w:rsidRPr="00355F23">
        <w:rPr>
          <w:rStyle w:val="af7"/>
          <w:rFonts w:ascii="FrankRuehl" w:hAnsi="FrankRuehl"/>
          <w:sz w:val="28"/>
        </w:rPr>
        <w:instrText>MERGEFORMAT</w:instrText>
      </w:r>
      <w:r w:rsidRPr="00355F23">
        <w:rPr>
          <w:rStyle w:val="af7"/>
          <w:rFonts w:ascii="FrankRuehl" w:hAnsi="FrankRuehl"/>
          <w:sz w:val="28"/>
          <w:rtl/>
        </w:rPr>
        <w:instrText xml:space="preserve"> </w:instrText>
      </w:r>
      <w:r w:rsidRPr="00355F23">
        <w:rPr>
          <w:rStyle w:val="af7"/>
          <w:rFonts w:ascii="FrankRuehl" w:hAnsi="FrankRuehl"/>
          <w:sz w:val="28"/>
          <w:rtl/>
        </w:rPr>
      </w:r>
      <w:r w:rsidRPr="00355F23">
        <w:rPr>
          <w:rStyle w:val="af7"/>
          <w:rFonts w:ascii="FrankRuehl" w:hAnsi="FrankRuehl"/>
          <w:sz w:val="28"/>
          <w:rtl/>
        </w:rPr>
        <w:fldChar w:fldCharType="separate"/>
      </w:r>
      <w:r w:rsidR="00E770D8">
        <w:rPr>
          <w:rStyle w:val="af7"/>
          <w:rFonts w:ascii="FrankRuehl" w:hAnsi="FrankRuehl"/>
          <w:sz w:val="28"/>
          <w:cs/>
        </w:rPr>
        <w:t>‎</w:t>
      </w:r>
      <w:r w:rsidR="00E770D8">
        <w:rPr>
          <w:rStyle w:val="af7"/>
          <w:rFonts w:ascii="FrankRuehl" w:hAnsi="FrankRuehl"/>
          <w:sz w:val="28"/>
        </w:rPr>
        <w:t>56</w:t>
      </w:r>
      <w:r w:rsidRPr="00355F23">
        <w:rPr>
          <w:rStyle w:val="af7"/>
          <w:rFonts w:ascii="FrankRuehl" w:hAnsi="FrankRuehl"/>
          <w:sz w:val="28"/>
          <w:rtl/>
        </w:rPr>
        <w:fldChar w:fldCharType="end"/>
      </w:r>
      <w:r>
        <w:rPr>
          <w:rFonts w:hint="cs"/>
          <w:rtl/>
        </w:rPr>
        <w:t xml:space="preserve"> לעיל. </w:t>
      </w:r>
    </w:p>
    <w:p w:rsidR="00892B63" w:rsidRPr="00892B63" w:rsidRDefault="00892B63" w:rsidP="00892B63">
      <w:pPr>
        <w:pStyle w:val="af6"/>
        <w:rPr>
          <w:rtl/>
        </w:rPr>
      </w:pPr>
    </w:p>
    <w:p w:rsidR="00355F23" w:rsidRDefault="00355F23" w:rsidP="00355F23">
      <w:pPr>
        <w:pStyle w:val="af6"/>
        <w:jc w:val="right"/>
        <w:rPr>
          <w:rtl/>
        </w:rPr>
      </w:pPr>
      <w:r>
        <w:rPr>
          <w:rFonts w:hint="cs"/>
          <w:rtl/>
        </w:rPr>
        <w:t>ש ו פ ט</w:t>
      </w:r>
    </w:p>
    <w:p w:rsidR="00355F23" w:rsidRDefault="00355F23" w:rsidP="00355F23">
      <w:pPr>
        <w:pStyle w:val="af6"/>
        <w:ind w:firstLine="0"/>
        <w:jc w:val="left"/>
        <w:rPr>
          <w:rtl/>
        </w:rPr>
      </w:pPr>
    </w:p>
    <w:p w:rsidR="00D865EA" w:rsidRDefault="00D865EA" w:rsidP="00D865EA">
      <w:pPr>
        <w:pStyle w:val="90"/>
        <w:rPr>
          <w:rtl/>
        </w:rPr>
      </w:pPr>
      <w:r>
        <w:rPr>
          <w:rtl/>
        </w:rPr>
        <w:tab/>
      </w:r>
    </w:p>
    <w:p w:rsidR="00D865EA" w:rsidRDefault="00D865EA" w:rsidP="00892B63">
      <w:pPr>
        <w:pStyle w:val="BODYVERDICT"/>
        <w:rPr>
          <w:rFonts w:cs="Miriam"/>
          <w:sz w:val="24"/>
          <w:szCs w:val="24"/>
          <w:u w:val="single"/>
          <w:rtl/>
        </w:rPr>
      </w:pPr>
      <w:r>
        <w:rPr>
          <w:rFonts w:cs="Miriam"/>
          <w:sz w:val="24"/>
          <w:szCs w:val="24"/>
          <w:u w:val="single"/>
          <w:rtl/>
        </w:rPr>
        <w:t>המשנה לנשיאה נ' הנדל:</w:t>
      </w:r>
    </w:p>
    <w:p w:rsidR="00D865EA" w:rsidRDefault="00D865EA" w:rsidP="00D865EA">
      <w:pPr>
        <w:pStyle w:val="BODYVERDICT"/>
        <w:rPr>
          <w:rFonts w:cs="Miriam"/>
          <w:sz w:val="24"/>
          <w:szCs w:val="24"/>
          <w:u w:val="single"/>
          <w:rtl/>
        </w:rPr>
      </w:pPr>
    </w:p>
    <w:p w:rsidR="00D865EA" w:rsidRPr="00503A3E" w:rsidRDefault="00D865EA" w:rsidP="00D865EA">
      <w:pPr>
        <w:pStyle w:val="BODYVERDICT"/>
        <w:rPr>
          <w:rFonts w:cs="Miriam"/>
          <w:sz w:val="24"/>
          <w:szCs w:val="24"/>
          <w:u w:val="single"/>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hint="cs"/>
          <w:spacing w:val="10"/>
          <w:sz w:val="22"/>
          <w:szCs w:val="28"/>
          <w:rtl/>
        </w:rPr>
        <w:t>1.</w:t>
      </w:r>
      <w:r w:rsidRPr="007F5756">
        <w:rPr>
          <w:rFonts w:ascii="Arial TUR" w:hAnsi="Arial TUR" w:cs="FrankRuehl"/>
          <w:spacing w:val="10"/>
          <w:sz w:val="22"/>
          <w:szCs w:val="28"/>
          <w:rtl/>
        </w:rPr>
        <w:tab/>
      </w:r>
      <w:r w:rsidRPr="007F5756">
        <w:rPr>
          <w:rFonts w:ascii="Arial TUR" w:hAnsi="Arial TUR" w:cs="FrankRuehl" w:hint="cs"/>
          <w:spacing w:val="10"/>
          <w:sz w:val="22"/>
          <w:szCs w:val="28"/>
          <w:rtl/>
        </w:rPr>
        <w:t xml:space="preserve">עיינתי בחוות דעתו המפורטת של חברי השופט </w:t>
      </w:r>
      <w:r w:rsidRPr="007F5756">
        <w:rPr>
          <w:rFonts w:ascii="Century" w:hAnsi="Century" w:cs="Miriam" w:hint="cs"/>
          <w:b/>
          <w:sz w:val="22"/>
          <w:rtl/>
        </w:rPr>
        <w:t>י' אלרון</w:t>
      </w:r>
      <w:r w:rsidRPr="007F5756">
        <w:rPr>
          <w:rFonts w:ascii="Arial TUR" w:hAnsi="Arial TUR" w:cs="FrankRuehl" w:hint="cs"/>
          <w:spacing w:val="10"/>
          <w:sz w:val="22"/>
          <w:szCs w:val="28"/>
          <w:rtl/>
        </w:rPr>
        <w:t xml:space="preserve">. המיקוד בבקשה הוא בשאלה אחת שעליה ניתנה רשות ערעור: האם ניתן להרשיע נאשם בעבירה של מרמה והפרת אמונים בשל דפוס התנהגות חוזר ונשנה שנהג בו, אף אם כל מעשה ומעשה שבוצע, כשהוא לבדו, אינו מגבש את העבירה הנדונה. חברי השיב לשאלה זו בשלילה.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r w:rsidRPr="007F5756">
        <w:rPr>
          <w:rFonts w:ascii="Arial TUR" w:hAnsi="Arial TUR" w:cs="FrankRuehl" w:hint="cs"/>
          <w:spacing w:val="10"/>
          <w:sz w:val="22"/>
          <w:szCs w:val="28"/>
          <w:rtl/>
        </w:rPr>
        <w:t xml:space="preserve">האפשרות שלפיה מספר מעשים שאינם חוצים כשלעצמם את הרף הפלילי, ייצברו לכדי מכלול אחד שיהווה עבירה של הפרת אמונים </w:t>
      </w:r>
      <w:r w:rsidRPr="007F5756">
        <w:rPr>
          <w:rFonts w:ascii="Arial TUR" w:hAnsi="Arial TUR" w:cs="FrankRuehl"/>
          <w:spacing w:val="10"/>
          <w:sz w:val="22"/>
          <w:szCs w:val="28"/>
          <w:rtl/>
        </w:rPr>
        <w:t>–</w:t>
      </w:r>
      <w:r w:rsidRPr="007F5756">
        <w:rPr>
          <w:rFonts w:ascii="Arial TUR" w:hAnsi="Arial TUR" w:cs="FrankRuehl" w:hint="cs"/>
          <w:spacing w:val="10"/>
          <w:sz w:val="22"/>
          <w:szCs w:val="28"/>
          <w:rtl/>
        </w:rPr>
        <w:t xml:space="preserve"> כונתה על ידי הצדדים בשם "תזת הצבירה". לשיטת חברי, השימוש בתזה זו עומד בסתירה לעקרון החוקיות השלט בדין הפלילי, ובניגוד למגמת הפסיקה להתוות מבחן ברור ומדויק ליסודות העבירה של הפרת אמונים. כך לעמדתו של חברי באופן עקרוני, ובפרט, לדבריו, קיים קושי להרשיע את המבקש על בסיס התזה במקרה הנדון, "</w:t>
      </w:r>
      <w:r w:rsidRPr="007F5756">
        <w:rPr>
          <w:rFonts w:ascii="Century" w:hAnsi="Century" w:cs="FrankRuehl" w:hint="cs"/>
          <w:b/>
          <w:sz w:val="22"/>
          <w:szCs w:val="28"/>
          <w:rtl/>
        </w:rPr>
        <w:t>לאחר שטענות המאשימה עברו במסננת הראייתית, ולא נותר מהן למעשה אלא מצאי דל בהרבה מכפי הנטען</w:t>
      </w:r>
      <w:r w:rsidRPr="007F5756">
        <w:rPr>
          <w:rFonts w:ascii="Arial TUR" w:hAnsi="Arial TUR" w:cs="FrankRuehl" w:hint="cs"/>
          <w:spacing w:val="10"/>
          <w:sz w:val="22"/>
          <w:szCs w:val="28"/>
          <w:rtl/>
        </w:rPr>
        <w:t xml:space="preserve">" (פסקה 47 לחוות דעתו). מכאן, </w:t>
      </w:r>
      <w:proofErr w:type="spellStart"/>
      <w:r w:rsidRPr="007F5756">
        <w:rPr>
          <w:rFonts w:ascii="Arial TUR" w:hAnsi="Arial TUR" w:cs="FrankRuehl" w:hint="cs"/>
          <w:spacing w:val="10"/>
          <w:sz w:val="22"/>
          <w:szCs w:val="28"/>
          <w:rtl/>
        </w:rPr>
        <w:t>ומשלדעת</w:t>
      </w:r>
      <w:proofErr w:type="spellEnd"/>
      <w:r w:rsidRPr="007F5756">
        <w:rPr>
          <w:rFonts w:ascii="Arial TUR" w:hAnsi="Arial TUR" w:cs="FrankRuehl" w:hint="cs"/>
          <w:spacing w:val="10"/>
          <w:sz w:val="22"/>
          <w:szCs w:val="28"/>
          <w:rtl/>
        </w:rPr>
        <w:t xml:space="preserve"> חברי כל מעשה שביצע המבקש, כשהוא עומד לבדו, לא חצה את הרף הפלילי </w:t>
      </w:r>
      <w:r w:rsidRPr="007F5756">
        <w:rPr>
          <w:rFonts w:ascii="Arial TUR" w:hAnsi="Arial TUR" w:cs="FrankRuehl"/>
          <w:spacing w:val="10"/>
          <w:sz w:val="22"/>
          <w:szCs w:val="28"/>
          <w:rtl/>
        </w:rPr>
        <w:t>–</w:t>
      </w:r>
      <w:r w:rsidRPr="007F5756">
        <w:rPr>
          <w:rFonts w:ascii="Arial TUR" w:hAnsi="Arial TUR" w:cs="FrankRuehl" w:hint="cs"/>
          <w:spacing w:val="10"/>
          <w:sz w:val="22"/>
          <w:szCs w:val="28"/>
          <w:rtl/>
        </w:rPr>
        <w:t xml:space="preserve"> מסקנתו כי יש לזכות את המבקש מן האישום בהפרת אמונים המתייחס למכלול </w:t>
      </w:r>
      <w:r w:rsidRPr="007F5756">
        <w:rPr>
          <w:rFonts w:ascii="Arial TUR" w:hAnsi="Arial TUR" w:cs="FrankRuehl" w:hint="cs"/>
          <w:spacing w:val="10"/>
          <w:sz w:val="22"/>
          <w:szCs w:val="28"/>
          <w:rtl/>
        </w:rPr>
        <w:lastRenderedPageBreak/>
        <w:t>המעשים. לצד זאת יוזכר כי הרשעת המבקש בעבירות של מעשה מגונה והטרדה מינית, אשר לא ניתנה לגביה רשות ערעור, נותרה על כנה.</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hint="cs"/>
          <w:spacing w:val="10"/>
          <w:sz w:val="22"/>
          <w:szCs w:val="28"/>
          <w:rtl/>
        </w:rPr>
        <w:tab/>
        <w:t xml:space="preserve">חברי הניח את מסקנתו על אדנים עקרוניים, ועל כן כל מענה ידרוש מחשבה והתמודדות ישירה. השאלה שמונחת לפתחנו, ביחס לאפשרות ה"צבירה" בעבירה של הפרת אמונים, מורכבת היא. שבתי ועיינתי בחוות דעתו של חברי, בפסקי הדין המקיפים של הערכאות </w:t>
      </w:r>
      <w:proofErr w:type="spellStart"/>
      <w:r w:rsidRPr="007F5756">
        <w:rPr>
          <w:rFonts w:ascii="Arial TUR" w:hAnsi="Arial TUR" w:cs="FrankRuehl" w:hint="cs"/>
          <w:spacing w:val="10"/>
          <w:sz w:val="22"/>
          <w:szCs w:val="28"/>
          <w:rtl/>
        </w:rPr>
        <w:t>דלמטה</w:t>
      </w:r>
      <w:proofErr w:type="spellEnd"/>
      <w:r w:rsidRPr="007F5756">
        <w:rPr>
          <w:rFonts w:ascii="Arial TUR" w:hAnsi="Arial TUR" w:cs="FrankRuehl" w:hint="cs"/>
          <w:spacing w:val="10"/>
          <w:sz w:val="22"/>
          <w:szCs w:val="28"/>
          <w:rtl/>
        </w:rPr>
        <w:t xml:space="preserve">, ובטענותיהם המלומדות של הצדדים כפי שהוצגו לנו בכתב ובעל פה. בסופו של יום, דעתי שונה מזו של חברי הן ביחס לשאלה העקרונית שהועמדה במוקד הבקשה הן ביישומם של הדברים על נסיבות המקרה שלפנינו.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hint="cs"/>
          <w:spacing w:val="10"/>
          <w:sz w:val="22"/>
          <w:szCs w:val="28"/>
          <w:rtl/>
        </w:rPr>
        <w:t xml:space="preserve">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r>
        <w:rPr>
          <w:rFonts w:ascii="Arial TUR" w:hAnsi="Arial TUR" w:cs="FrankRuehl" w:hint="cs"/>
          <w:spacing w:val="10"/>
          <w:sz w:val="22"/>
          <w:szCs w:val="28"/>
          <w:rtl/>
        </w:rPr>
        <w:t>לצורך הבנת הסוגי</w:t>
      </w:r>
      <w:r w:rsidRPr="007F5756">
        <w:rPr>
          <w:rFonts w:ascii="Arial TUR" w:hAnsi="Arial TUR" w:cs="FrankRuehl" w:hint="cs"/>
          <w:spacing w:val="10"/>
          <w:sz w:val="22"/>
          <w:szCs w:val="28"/>
          <w:rtl/>
        </w:rPr>
        <w:t xml:space="preserve">ה שעל הפרק, נפתח בחזרה קצרה על מושכלות יסוד ביחס לעבירת הפרת האמונים, וכן נזכיר את עיקרי העובדות של המקרה הנדון.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Century" w:hAnsi="Century" w:cs="Miriam"/>
          <w:b/>
          <w:sz w:val="22"/>
          <w:rtl/>
        </w:rPr>
      </w:pPr>
      <w:r w:rsidRPr="007F5756">
        <w:rPr>
          <w:rFonts w:ascii="Century" w:hAnsi="Century" w:cs="Miriam"/>
          <w:b/>
          <w:sz w:val="22"/>
          <w:rtl/>
        </w:rPr>
        <w:tab/>
      </w:r>
      <w:r w:rsidRPr="007F5756">
        <w:rPr>
          <w:rFonts w:ascii="Century" w:hAnsi="Century" w:cs="Miriam" w:hint="cs"/>
          <w:b/>
          <w:sz w:val="22"/>
          <w:rtl/>
        </w:rPr>
        <w:t xml:space="preserve">עבירת הפרת האמונים </w:t>
      </w:r>
      <w:r w:rsidRPr="007F5756">
        <w:rPr>
          <w:rFonts w:ascii="Century" w:hAnsi="Century" w:cs="Miriam"/>
          <w:b/>
          <w:sz w:val="22"/>
          <w:rtl/>
        </w:rPr>
        <w:t>–</w:t>
      </w:r>
      <w:r w:rsidRPr="007F5756">
        <w:rPr>
          <w:rFonts w:ascii="Century" w:hAnsi="Century" w:cs="Miriam" w:hint="cs"/>
          <w:b/>
          <w:sz w:val="22"/>
          <w:rtl/>
        </w:rPr>
        <w:t xml:space="preserve"> מסגרת נורמטיבית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hint="cs"/>
          <w:spacing w:val="10"/>
          <w:sz w:val="22"/>
          <w:szCs w:val="28"/>
          <w:rtl/>
        </w:rPr>
        <w:t xml:space="preserve"> 2.</w:t>
      </w:r>
      <w:r w:rsidRPr="007F5756">
        <w:rPr>
          <w:rFonts w:ascii="Arial TUR" w:hAnsi="Arial TUR" w:cs="FrankRuehl"/>
          <w:spacing w:val="10"/>
          <w:sz w:val="22"/>
          <w:szCs w:val="28"/>
          <w:rtl/>
        </w:rPr>
        <w:tab/>
      </w:r>
      <w:r w:rsidRPr="007F5756">
        <w:rPr>
          <w:rFonts w:ascii="Arial TUR" w:hAnsi="Arial TUR" w:cs="FrankRuehl" w:hint="eastAsia"/>
          <w:spacing w:val="10"/>
          <w:sz w:val="22"/>
          <w:szCs w:val="28"/>
          <w:rtl/>
        </w:rPr>
        <w:t>סעיף</w:t>
      </w:r>
      <w:r w:rsidRPr="007F5756">
        <w:rPr>
          <w:rFonts w:ascii="Arial TUR" w:hAnsi="Arial TUR" w:cs="FrankRuehl"/>
          <w:spacing w:val="10"/>
          <w:sz w:val="22"/>
          <w:szCs w:val="28"/>
          <w:rtl/>
        </w:rPr>
        <w:t xml:space="preserve"> 284 </w:t>
      </w:r>
      <w:r w:rsidRPr="007F5756">
        <w:rPr>
          <w:rFonts w:ascii="Arial TUR" w:hAnsi="Arial TUR" w:cs="FrankRuehl" w:hint="eastAsia"/>
          <w:spacing w:val="10"/>
          <w:sz w:val="22"/>
          <w:szCs w:val="28"/>
          <w:rtl/>
        </w:rPr>
        <w:t>לחוק</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העונשין</w:t>
      </w:r>
      <w:r w:rsidRPr="007F5756">
        <w:rPr>
          <w:rFonts w:ascii="Arial TUR" w:hAnsi="Arial TUR" w:cs="FrankRuehl" w:hint="cs"/>
          <w:spacing w:val="10"/>
          <w:sz w:val="22"/>
          <w:szCs w:val="28"/>
          <w:rtl/>
        </w:rPr>
        <w:t xml:space="preserve">, התשל"ז-1977 </w:t>
      </w:r>
      <w:r w:rsidRPr="007F5756">
        <w:rPr>
          <w:rFonts w:ascii="Arial TUR" w:hAnsi="Arial TUR" w:cs="FrankRuehl" w:hint="eastAsia"/>
          <w:spacing w:val="10"/>
          <w:sz w:val="22"/>
          <w:szCs w:val="28"/>
          <w:rtl/>
        </w:rPr>
        <w:t>מור</w:t>
      </w:r>
      <w:r w:rsidRPr="007F5756">
        <w:rPr>
          <w:rFonts w:ascii="Arial TUR" w:hAnsi="Arial TUR" w:cs="FrankRuehl" w:hint="cs"/>
          <w:spacing w:val="10"/>
          <w:sz w:val="22"/>
          <w:szCs w:val="28"/>
          <w:rtl/>
        </w:rPr>
        <w:t>ה</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כך</w:t>
      </w:r>
      <w:r w:rsidRPr="007F5756">
        <w:rPr>
          <w:rFonts w:ascii="Arial TUR" w:hAnsi="Arial TUR" w:cs="FrankRuehl"/>
          <w:spacing w:val="10"/>
          <w:sz w:val="22"/>
          <w:szCs w:val="28"/>
          <w:rtl/>
        </w:rPr>
        <w:t>:</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ind w:left="1644" w:right="1276"/>
        <w:jc w:val="both"/>
        <w:rPr>
          <w:rFonts w:ascii="Arial TUR" w:hAnsi="Arial TUR" w:cs="FrankRuehl"/>
          <w:spacing w:val="10"/>
          <w:sz w:val="22"/>
          <w:szCs w:val="28"/>
          <w:rtl/>
        </w:rPr>
      </w:pPr>
      <w:r w:rsidRPr="007F5756">
        <w:rPr>
          <w:rFonts w:ascii="Arial TUR" w:hAnsi="Arial TUR" w:cs="FrankRuehl"/>
          <w:spacing w:val="10"/>
          <w:sz w:val="22"/>
          <w:szCs w:val="28"/>
          <w:rtl/>
        </w:rPr>
        <w:t>"</w:t>
      </w:r>
      <w:r w:rsidRPr="007F5756">
        <w:rPr>
          <w:rFonts w:ascii="Arial TUR" w:hAnsi="Arial TUR" w:cs="FrankRuehl" w:hint="eastAsia"/>
          <w:spacing w:val="10"/>
          <w:sz w:val="22"/>
          <w:szCs w:val="28"/>
          <w:rtl/>
        </w:rPr>
        <w:t>עובד</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הציבור</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העושה</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במילוי</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תפקידו</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מעשה</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מרמה</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או</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הפרת</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אמונים</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הפוגע</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בציבור</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אף</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אם</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לא</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היה</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במעשה</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משום</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עבירה</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אילו</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נעשה</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כנגד</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יחיד</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דינו</w:t>
      </w:r>
      <w:r w:rsidRPr="007F5756">
        <w:rPr>
          <w:rFonts w:ascii="Arial TUR" w:hAnsi="Arial TUR" w:cs="FrankRuehl"/>
          <w:spacing w:val="10"/>
          <w:sz w:val="22"/>
          <w:szCs w:val="28"/>
          <w:rtl/>
        </w:rPr>
        <w:t xml:space="preserve"> - </w:t>
      </w:r>
      <w:r w:rsidRPr="007F5756">
        <w:rPr>
          <w:rFonts w:ascii="Arial TUR" w:hAnsi="Arial TUR" w:cs="FrankRuehl" w:hint="eastAsia"/>
          <w:spacing w:val="10"/>
          <w:sz w:val="22"/>
          <w:szCs w:val="28"/>
          <w:rtl/>
        </w:rPr>
        <w:t>מאסר</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שלוש</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שנים</w:t>
      </w:r>
      <w:r w:rsidRPr="007F5756">
        <w:rPr>
          <w:rFonts w:ascii="Arial TUR" w:hAnsi="Arial TUR" w:cs="FrankRuehl"/>
          <w:spacing w:val="10"/>
          <w:sz w:val="22"/>
          <w:szCs w:val="28"/>
          <w:rtl/>
        </w:rPr>
        <w:t>".</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r w:rsidRPr="007F5756">
        <w:rPr>
          <w:rFonts w:ascii="Arial TUR" w:hAnsi="Arial TUR" w:cs="FrankRuehl" w:hint="cs"/>
          <w:spacing w:val="10"/>
          <w:sz w:val="22"/>
          <w:szCs w:val="28"/>
          <w:rtl/>
        </w:rPr>
        <w:t>המיקוד בענייננו הוא בחלופת הפרת האמונים ולא במרמה. כידוע, הייחוד בעבירה זו, שהוא גם הקושי המרכזי בה, הוא היסוד העובדתי ובפרט הרכיב ההתנהגותי הנוגע לעשיית "מעשה... הפרת אמונים הפוגע בציבור". החוק אינו מגדיר מהו מעשה הפרת אמונים כזה, ומכאן ההתייחסות לעבירה כאל עבירת "סל", בעלת "רקמה פתוחה", אשר "שלא כדרכן של עבירות פליליות אין היא בנויה על יסודות מוגדרים באורח ברור ומדויק" (</w:t>
      </w:r>
      <w:proofErr w:type="spellStart"/>
      <w:r w:rsidRPr="007F5756">
        <w:rPr>
          <w:rFonts w:ascii="Arial TUR" w:hAnsi="Arial TUR" w:cs="FrankRuehl" w:hint="eastAsia"/>
          <w:spacing w:val="10"/>
          <w:sz w:val="22"/>
          <w:szCs w:val="28"/>
          <w:rtl/>
        </w:rPr>
        <w:t>דנ</w:t>
      </w:r>
      <w:r w:rsidRPr="007F5756">
        <w:rPr>
          <w:rFonts w:ascii="Arial TUR" w:hAnsi="Arial TUR" w:cs="FrankRuehl"/>
          <w:spacing w:val="10"/>
          <w:sz w:val="22"/>
          <w:szCs w:val="28"/>
          <w:rtl/>
        </w:rPr>
        <w:t>"</w:t>
      </w:r>
      <w:r w:rsidRPr="007F5756">
        <w:rPr>
          <w:rFonts w:ascii="Arial TUR" w:hAnsi="Arial TUR" w:cs="FrankRuehl" w:hint="eastAsia"/>
          <w:spacing w:val="10"/>
          <w:sz w:val="22"/>
          <w:szCs w:val="28"/>
          <w:rtl/>
        </w:rPr>
        <w:t>פ</w:t>
      </w:r>
      <w:proofErr w:type="spellEnd"/>
      <w:r w:rsidRPr="007F5756">
        <w:rPr>
          <w:rFonts w:ascii="Arial TUR" w:hAnsi="Arial TUR" w:cs="FrankRuehl"/>
          <w:spacing w:val="10"/>
          <w:sz w:val="22"/>
          <w:szCs w:val="28"/>
          <w:rtl/>
        </w:rPr>
        <w:t xml:space="preserve"> 1397/03 </w:t>
      </w:r>
      <w:r w:rsidRPr="007F5756">
        <w:rPr>
          <w:rFonts w:ascii="Century" w:hAnsi="Century" w:cs="Miriam" w:hint="eastAsia"/>
          <w:b/>
          <w:sz w:val="22"/>
          <w:rtl/>
        </w:rPr>
        <w:t>מדינת</w:t>
      </w:r>
      <w:r w:rsidRPr="007F5756">
        <w:rPr>
          <w:rFonts w:ascii="Century" w:hAnsi="Century" w:cs="Miriam"/>
          <w:b/>
          <w:sz w:val="22"/>
          <w:rtl/>
        </w:rPr>
        <w:t xml:space="preserve"> </w:t>
      </w:r>
      <w:r w:rsidRPr="007F5756">
        <w:rPr>
          <w:rFonts w:ascii="Century" w:hAnsi="Century" w:cs="Miriam" w:hint="eastAsia"/>
          <w:b/>
          <w:sz w:val="22"/>
          <w:rtl/>
        </w:rPr>
        <w:t>ישראל</w:t>
      </w:r>
      <w:r w:rsidRPr="007F5756">
        <w:rPr>
          <w:rFonts w:ascii="Century" w:hAnsi="Century" w:cs="Miriam"/>
          <w:b/>
          <w:sz w:val="22"/>
          <w:rtl/>
        </w:rPr>
        <w:t xml:space="preserve"> </w:t>
      </w:r>
      <w:r w:rsidRPr="007F5756">
        <w:rPr>
          <w:rFonts w:ascii="Century" w:hAnsi="Century" w:cs="Miriam" w:hint="eastAsia"/>
          <w:b/>
          <w:sz w:val="22"/>
          <w:rtl/>
        </w:rPr>
        <w:t>נ</w:t>
      </w:r>
      <w:r w:rsidRPr="007F5756">
        <w:rPr>
          <w:rFonts w:ascii="Century" w:hAnsi="Century" w:cs="Miriam"/>
          <w:b/>
          <w:sz w:val="22"/>
          <w:rtl/>
        </w:rPr>
        <w:t xml:space="preserve">' </w:t>
      </w:r>
      <w:r w:rsidRPr="007F5756">
        <w:rPr>
          <w:rFonts w:ascii="Century" w:hAnsi="Century" w:cs="Miriam" w:hint="eastAsia"/>
          <w:b/>
          <w:sz w:val="22"/>
          <w:rtl/>
        </w:rPr>
        <w:t>שבס</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פ</w:t>
      </w:r>
      <w:r w:rsidRPr="007F5756">
        <w:rPr>
          <w:rFonts w:ascii="Arial TUR" w:hAnsi="Arial TUR" w:cs="FrankRuehl"/>
          <w:spacing w:val="10"/>
          <w:sz w:val="22"/>
          <w:szCs w:val="28"/>
          <w:rtl/>
        </w:rPr>
        <w:t>"</w:t>
      </w:r>
      <w:r w:rsidRPr="007F5756">
        <w:rPr>
          <w:rFonts w:ascii="Arial TUR" w:hAnsi="Arial TUR" w:cs="FrankRuehl" w:hint="eastAsia"/>
          <w:spacing w:val="10"/>
          <w:sz w:val="22"/>
          <w:szCs w:val="28"/>
          <w:rtl/>
        </w:rPr>
        <w:t>ד</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נט</w:t>
      </w:r>
      <w:r w:rsidRPr="007F5756">
        <w:rPr>
          <w:rFonts w:ascii="Arial TUR" w:hAnsi="Arial TUR" w:cs="FrankRuehl"/>
          <w:spacing w:val="10"/>
          <w:sz w:val="22"/>
          <w:szCs w:val="28"/>
          <w:rtl/>
        </w:rPr>
        <w:t>(4) 385</w:t>
      </w:r>
      <w:r w:rsidRPr="007F5756">
        <w:rPr>
          <w:rFonts w:ascii="Arial TUR" w:hAnsi="Arial TUR" w:cs="FrankRuehl" w:hint="cs"/>
          <w:spacing w:val="10"/>
          <w:sz w:val="22"/>
          <w:szCs w:val="28"/>
          <w:rtl/>
        </w:rPr>
        <w:t>, 405</w:t>
      </w:r>
      <w:r w:rsidRPr="007F5756">
        <w:rPr>
          <w:rFonts w:ascii="Arial TUR" w:hAnsi="Arial TUR" w:cs="FrankRuehl"/>
          <w:spacing w:val="10"/>
          <w:sz w:val="22"/>
          <w:szCs w:val="28"/>
          <w:rtl/>
        </w:rPr>
        <w:t xml:space="preserve"> (2004)</w:t>
      </w:r>
      <w:r w:rsidRPr="007F5756">
        <w:rPr>
          <w:rFonts w:ascii="Arial TUR" w:hAnsi="Arial TUR" w:cs="FrankRuehl" w:hint="cs"/>
          <w:spacing w:val="10"/>
          <w:sz w:val="22"/>
          <w:szCs w:val="28"/>
          <w:rtl/>
        </w:rPr>
        <w:t xml:space="preserve">). על רקע עמימותה של העבירה הובעה בספרות המשפטית ביקורת על התיישבותה עם עקרון החוקיות, ואף עלו קריאות להסירה כליל מספר החוקים (ראו: ע"פ 3817/18 </w:t>
      </w:r>
      <w:r w:rsidRPr="007F5756">
        <w:rPr>
          <w:rFonts w:ascii="Century" w:hAnsi="Century" w:cs="Miriam" w:hint="cs"/>
          <w:b/>
          <w:sz w:val="22"/>
          <w:rtl/>
        </w:rPr>
        <w:t>מדינת ישראל נ' חסן</w:t>
      </w:r>
      <w:r w:rsidRPr="007F5756">
        <w:rPr>
          <w:rFonts w:ascii="Arial TUR" w:hAnsi="Arial TUR" w:cs="FrankRuehl" w:hint="cs"/>
          <w:spacing w:val="10"/>
          <w:sz w:val="22"/>
          <w:szCs w:val="28"/>
          <w:rtl/>
        </w:rPr>
        <w:t xml:space="preserve">, פסקה 9 לחוות דעתו של השופט אלרון וההפניות שם (3.12.2019)).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r w:rsidRPr="007F5756">
        <w:rPr>
          <w:rFonts w:ascii="Arial TUR" w:hAnsi="Arial TUR" w:cs="FrankRuehl" w:hint="cs"/>
          <w:spacing w:val="10"/>
          <w:sz w:val="22"/>
          <w:szCs w:val="28"/>
          <w:rtl/>
        </w:rPr>
        <w:t xml:space="preserve">בדיון הנוסף בעניין </w:t>
      </w:r>
      <w:r w:rsidRPr="007F5756">
        <w:rPr>
          <w:rFonts w:ascii="Century" w:hAnsi="Century" w:cs="Miriam" w:hint="cs"/>
          <w:b/>
          <w:sz w:val="22"/>
          <w:rtl/>
        </w:rPr>
        <w:t>שבס</w:t>
      </w:r>
      <w:r w:rsidRPr="007F5756">
        <w:rPr>
          <w:rFonts w:ascii="Arial TUR" w:hAnsi="Arial TUR" w:cs="FrankRuehl" w:hint="cs"/>
          <w:spacing w:val="10"/>
          <w:sz w:val="22"/>
          <w:szCs w:val="28"/>
          <w:rtl/>
        </w:rPr>
        <w:t xml:space="preserve">, נדרש בית משפט זה, בהרכב מורחב של תשעה שופטים, למהותה ולגבולותיה של העבירה. נפסק כי ביטולה או צמצומה מעבר לנדרש יוביל לכך שהחברה הישראלית תחסר מכשיר חשוב בשמירה על הערכים המונחים ביסוד </w:t>
      </w:r>
      <w:r w:rsidRPr="007F5756">
        <w:rPr>
          <w:rFonts w:ascii="Arial TUR" w:hAnsi="Arial TUR" w:cs="FrankRuehl" w:hint="cs"/>
          <w:spacing w:val="10"/>
          <w:sz w:val="22"/>
          <w:szCs w:val="28"/>
          <w:rtl/>
        </w:rPr>
        <w:lastRenderedPageBreak/>
        <w:t xml:space="preserve">השירות הציבורי. חלף כך, נקבע שהתרופה לעמימותה של העבירה הוא בפירושה הראוי. המגמה בהקשר זה היא לקבוע קו גבול ברור ככל שניתן, שיבחין בין התחום ה"אפור" </w:t>
      </w:r>
      <w:r w:rsidRPr="007F5756">
        <w:rPr>
          <w:rFonts w:ascii="Arial TUR" w:hAnsi="Arial TUR" w:cs="FrankRuehl"/>
          <w:spacing w:val="10"/>
          <w:sz w:val="22"/>
          <w:szCs w:val="28"/>
          <w:rtl/>
        </w:rPr>
        <w:t>–</w:t>
      </w:r>
      <w:r w:rsidRPr="007F5756">
        <w:rPr>
          <w:rFonts w:ascii="Arial TUR" w:hAnsi="Arial TUR" w:cs="FrankRuehl" w:hint="cs"/>
          <w:spacing w:val="10"/>
          <w:sz w:val="22"/>
          <w:szCs w:val="28"/>
          <w:rtl/>
        </w:rPr>
        <w:t xml:space="preserve"> המשמעתי, המוסרי או האסתטי; ובין התחום "השחור" </w:t>
      </w:r>
      <w:r w:rsidRPr="007F5756">
        <w:rPr>
          <w:rFonts w:ascii="Arial TUR" w:hAnsi="Arial TUR" w:cs="FrankRuehl"/>
          <w:spacing w:val="10"/>
          <w:sz w:val="22"/>
          <w:szCs w:val="28"/>
          <w:rtl/>
        </w:rPr>
        <w:t>–</w:t>
      </w:r>
      <w:r w:rsidRPr="007F5756">
        <w:rPr>
          <w:rFonts w:ascii="Arial TUR" w:hAnsi="Arial TUR" w:cs="FrankRuehl" w:hint="cs"/>
          <w:spacing w:val="10"/>
          <w:sz w:val="22"/>
          <w:szCs w:val="28"/>
          <w:rtl/>
        </w:rPr>
        <w:t xml:space="preserve"> הפלילי, הנופל בגדר העבירה. הפירוש הניתן לעבירה צריך שלא להיות רחב מדי, באופן שישתרע על התנהגות שההיבט הדומיננטי בה הוא בעל אופי משמעתי. מאידך אין לנקוט בפירוש מצמצם מדי, שיפגע בכוחה של החברה להגן על ע</w:t>
      </w:r>
      <w:r>
        <w:rPr>
          <w:rFonts w:ascii="Arial TUR" w:hAnsi="Arial TUR" w:cs="FrankRuehl" w:hint="cs"/>
          <w:spacing w:val="10"/>
          <w:sz w:val="22"/>
          <w:szCs w:val="28"/>
          <w:rtl/>
        </w:rPr>
        <w:t>צמה מפני שימוש לרעה בכוח השלטון</w:t>
      </w:r>
      <w:r w:rsidRPr="007F5756">
        <w:rPr>
          <w:rFonts w:ascii="Arial TUR" w:hAnsi="Arial TUR" w:cs="FrankRuehl" w:hint="cs"/>
          <w:spacing w:val="10"/>
          <w:sz w:val="22"/>
          <w:szCs w:val="28"/>
          <w:rtl/>
        </w:rPr>
        <w:t xml:space="preserve"> (</w:t>
      </w:r>
      <w:r>
        <w:rPr>
          <w:rFonts w:ascii="Century" w:hAnsi="Century" w:cs="FrankRuehl" w:hint="cs"/>
          <w:spacing w:val="10"/>
          <w:sz w:val="22"/>
          <w:szCs w:val="28"/>
          <w:rtl/>
        </w:rPr>
        <w:t xml:space="preserve">עניין </w:t>
      </w:r>
      <w:r w:rsidRPr="000A6FE0">
        <w:rPr>
          <w:rFonts w:ascii="Century" w:hAnsi="Century" w:cs="Miriam" w:hint="cs"/>
          <w:b/>
          <w:sz w:val="22"/>
          <w:rtl/>
        </w:rPr>
        <w:t>שבס</w:t>
      </w:r>
      <w:r w:rsidRPr="007F5756">
        <w:rPr>
          <w:rFonts w:ascii="Arial TUR" w:hAnsi="Arial TUR" w:cs="FrankRuehl" w:hint="cs"/>
          <w:spacing w:val="10"/>
          <w:sz w:val="22"/>
          <w:szCs w:val="28"/>
          <w:rtl/>
        </w:rPr>
        <w:t>,</w:t>
      </w:r>
      <w:r>
        <w:rPr>
          <w:rFonts w:ascii="Arial TUR" w:hAnsi="Arial TUR" w:cs="FrankRuehl" w:hint="cs"/>
          <w:spacing w:val="10"/>
          <w:sz w:val="22"/>
          <w:szCs w:val="28"/>
          <w:rtl/>
        </w:rPr>
        <w:t xml:space="preserve"> עמ'</w:t>
      </w:r>
      <w:r w:rsidRPr="007F5756">
        <w:rPr>
          <w:rFonts w:ascii="Arial TUR" w:hAnsi="Arial TUR" w:cs="FrankRuehl" w:hint="cs"/>
          <w:spacing w:val="10"/>
          <w:sz w:val="22"/>
          <w:szCs w:val="28"/>
          <w:rtl/>
        </w:rPr>
        <w:t xml:space="preserve"> 407-406).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r w:rsidRPr="007F5756">
        <w:rPr>
          <w:rFonts w:ascii="Arial TUR" w:hAnsi="Arial TUR" w:cs="FrankRuehl" w:hint="cs"/>
          <w:spacing w:val="10"/>
          <w:sz w:val="22"/>
          <w:szCs w:val="28"/>
          <w:rtl/>
        </w:rPr>
        <w:t xml:space="preserve">לגופו של עניין, נקבע שהאיסור הפלילי על הפרת אמונים נועד להגן על שלושה ערכים השזורים זה בזה, ומביטים </w:t>
      </w:r>
      <w:r w:rsidRPr="007F5756">
        <w:rPr>
          <w:rFonts w:ascii="Arial TUR" w:hAnsi="Arial TUR" w:cs="FrankRuehl"/>
          <w:spacing w:val="10"/>
          <w:sz w:val="22"/>
          <w:szCs w:val="28"/>
          <w:rtl/>
        </w:rPr>
        <w:t>–</w:t>
      </w:r>
      <w:r w:rsidRPr="007F5756">
        <w:rPr>
          <w:rFonts w:ascii="Arial TUR" w:hAnsi="Arial TUR" w:cs="FrankRuehl" w:hint="cs"/>
          <w:spacing w:val="10"/>
          <w:sz w:val="22"/>
          <w:szCs w:val="28"/>
          <w:rtl/>
        </w:rPr>
        <w:t xml:space="preserve"> לפי סדרם </w:t>
      </w:r>
      <w:r w:rsidRPr="007F5756">
        <w:rPr>
          <w:rFonts w:ascii="Arial TUR" w:hAnsi="Arial TUR" w:cs="FrankRuehl"/>
          <w:spacing w:val="10"/>
          <w:sz w:val="22"/>
          <w:szCs w:val="28"/>
          <w:rtl/>
        </w:rPr>
        <w:t>–</w:t>
      </w:r>
      <w:r w:rsidRPr="007F5756">
        <w:rPr>
          <w:rFonts w:ascii="Arial TUR" w:hAnsi="Arial TUR" w:cs="FrankRuehl" w:hint="cs"/>
          <w:spacing w:val="10"/>
          <w:sz w:val="22"/>
          <w:szCs w:val="28"/>
          <w:rtl/>
        </w:rPr>
        <w:t xml:space="preserve"> בציבור; בעובד הציבור; ובמִנהל. הערך הראשון, אמון הציבור במערכת השלטונית, נועד להגן על תדמיתו של המִנהל בעיניי הציבור, החיונית לקיומו של שלטון דמוקרטי יציב ומתפקד. הערך השני, טוהר המידות של עובדי הציבור, עניינו בהבטחת התנהגות ישרה של עובדי הציבור במסגרת פועלם בשם הציבור ולמענו. הערך השלישי, שמירה על פעולתו התקינה של המִנהל, מתמקד בהגשמת האינטרס המונח בבסיס התפקיד הציבורי. (</w:t>
      </w:r>
      <w:r w:rsidRPr="007F5756">
        <w:rPr>
          <w:rFonts w:ascii="Century" w:hAnsi="Century" w:cs="FrankRuehl" w:hint="cs"/>
          <w:spacing w:val="10"/>
          <w:sz w:val="22"/>
          <w:szCs w:val="28"/>
          <w:rtl/>
        </w:rPr>
        <w:t>שם</w:t>
      </w:r>
      <w:r w:rsidRPr="007F5756">
        <w:rPr>
          <w:rFonts w:ascii="Arial TUR" w:hAnsi="Arial TUR" w:cs="FrankRuehl" w:hint="cs"/>
          <w:spacing w:val="10"/>
          <w:sz w:val="22"/>
          <w:szCs w:val="28"/>
          <w:rtl/>
        </w:rPr>
        <w:t xml:space="preserve">, עמ' 411-408; </w:t>
      </w:r>
      <w:r w:rsidRPr="007F5756">
        <w:rPr>
          <w:rFonts w:ascii="Century" w:hAnsi="Century" w:cs="Miriam" w:hint="cs"/>
          <w:b/>
          <w:sz w:val="22"/>
          <w:rtl/>
        </w:rPr>
        <w:t>עניין חסן</w:t>
      </w:r>
      <w:r w:rsidRPr="007F5756">
        <w:rPr>
          <w:rFonts w:ascii="Arial TUR" w:hAnsi="Arial TUR" w:cs="FrankRuehl" w:hint="cs"/>
          <w:spacing w:val="10"/>
          <w:sz w:val="22"/>
          <w:szCs w:val="28"/>
          <w:rtl/>
        </w:rPr>
        <w:t xml:space="preserve">, פסקה 4 לחוות דעתי). פגיעה בערכים אלה, המבטאת מעשה של הפרת אמונים, יכולה להתבטא במגוון </w:t>
      </w:r>
      <w:r>
        <w:rPr>
          <w:rFonts w:ascii="Arial TUR" w:hAnsi="Arial TUR" w:cs="FrankRuehl" w:hint="cs"/>
          <w:spacing w:val="10"/>
          <w:sz w:val="22"/>
          <w:szCs w:val="28"/>
          <w:rtl/>
        </w:rPr>
        <w:t>דרכים, אשר לא ניתן להגדירן מראש</w:t>
      </w:r>
      <w:r w:rsidRPr="007F5756">
        <w:rPr>
          <w:rFonts w:ascii="Arial TUR" w:hAnsi="Arial TUR" w:cs="FrankRuehl" w:hint="cs"/>
          <w:spacing w:val="10"/>
          <w:sz w:val="22"/>
          <w:szCs w:val="28"/>
          <w:rtl/>
        </w:rPr>
        <w:t xml:space="preserve"> (עניין </w:t>
      </w:r>
      <w:r w:rsidRPr="007F5756">
        <w:rPr>
          <w:rFonts w:ascii="Century" w:hAnsi="Century" w:cs="Miriam" w:hint="cs"/>
          <w:b/>
          <w:sz w:val="22"/>
          <w:rtl/>
        </w:rPr>
        <w:t>שבס</w:t>
      </w:r>
      <w:r w:rsidRPr="007F5756">
        <w:rPr>
          <w:rFonts w:ascii="Century" w:hAnsi="Century" w:cs="FrankRuehl" w:hint="cs"/>
          <w:spacing w:val="10"/>
          <w:sz w:val="22"/>
          <w:szCs w:val="28"/>
          <w:rtl/>
        </w:rPr>
        <w:t>, עמ' 406,</w:t>
      </w:r>
      <w:r w:rsidRPr="007F5756">
        <w:rPr>
          <w:rFonts w:ascii="Arial TUR" w:hAnsi="Arial TUR" w:cs="FrankRuehl" w:hint="cs"/>
          <w:spacing w:val="10"/>
          <w:sz w:val="22"/>
          <w:szCs w:val="28"/>
          <w:rtl/>
        </w:rPr>
        <w:t xml:space="preserve"> 415-414).</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r w:rsidRPr="007F5756">
        <w:rPr>
          <w:rFonts w:ascii="Arial TUR" w:hAnsi="Arial TUR" w:cs="FrankRuehl" w:hint="cs"/>
          <w:spacing w:val="10"/>
          <w:sz w:val="22"/>
          <w:szCs w:val="28"/>
          <w:rtl/>
        </w:rPr>
        <w:t xml:space="preserve">בקשר להתנהגות שיש בה ניגוד עניינים, נפסק בעניין </w:t>
      </w:r>
      <w:r w:rsidRPr="007F5756">
        <w:rPr>
          <w:rFonts w:ascii="Miriam" w:hAnsi="Miriam" w:cs="Miriam"/>
          <w:spacing w:val="10"/>
          <w:rtl/>
        </w:rPr>
        <w:t>שבס</w:t>
      </w:r>
      <w:r w:rsidRPr="007F5756">
        <w:rPr>
          <w:rFonts w:ascii="Arial TUR" w:hAnsi="Arial TUR" w:cs="FrankRuehl" w:hint="cs"/>
          <w:spacing w:val="10"/>
          <w:sz w:val="22"/>
          <w:szCs w:val="28"/>
          <w:rtl/>
        </w:rPr>
        <w:t xml:space="preserve"> כי זו תקי</w:t>
      </w:r>
      <w:r>
        <w:rPr>
          <w:rFonts w:ascii="Arial TUR" w:hAnsi="Arial TUR" w:cs="FrankRuehl" w:hint="cs"/>
          <w:spacing w:val="10"/>
          <w:sz w:val="22"/>
          <w:szCs w:val="28"/>
          <w:rtl/>
        </w:rPr>
        <w:t>ים את היסוד העובדתי של העבירה</w:t>
      </w:r>
      <w:r w:rsidRPr="007F5756">
        <w:rPr>
          <w:rFonts w:ascii="Arial TUR" w:hAnsi="Arial TUR" w:cs="FrankRuehl" w:hint="cs"/>
          <w:spacing w:val="10"/>
          <w:sz w:val="22"/>
          <w:szCs w:val="28"/>
          <w:rtl/>
        </w:rPr>
        <w:t xml:space="preserve"> בהינתן "פן מחמיר נוסף", שהוא זה שמעביר את ההתנהגות מן המישור המשמעתי אל המישור הפלילי. משמעותו של פן מחמיר זה, היא פגיעה מהותית באחד או יותר מן הערכים המוגנים (שם,</w:t>
      </w:r>
      <w:r>
        <w:rPr>
          <w:rFonts w:ascii="Arial TUR" w:hAnsi="Arial TUR" w:cs="FrankRuehl" w:hint="cs"/>
          <w:spacing w:val="10"/>
          <w:sz w:val="22"/>
          <w:szCs w:val="28"/>
          <w:rtl/>
        </w:rPr>
        <w:t xml:space="preserve"> עמ'</w:t>
      </w:r>
      <w:r w:rsidRPr="007F5756">
        <w:rPr>
          <w:rFonts w:ascii="Arial TUR" w:hAnsi="Arial TUR" w:cs="FrankRuehl" w:hint="cs"/>
          <w:spacing w:val="10"/>
          <w:sz w:val="22"/>
          <w:szCs w:val="28"/>
          <w:rtl/>
        </w:rPr>
        <w:t xml:space="preserve"> 418-415). לצורך הערכת הפגיעה בערכים אלה פורטו שלושה מבחני עזר, שאינם בגדר רשימה סגורה. המבחן הראשון, עוצמת ניגוד העניינים, עוסק באינטרס של עובד הציבור. למשל, ככל שמדובר באינטרס כלכלי או בקשר אישי קרוב, תהא עוצמתו גבוהה יותר מאינטרס המבוסס על קשר מוסדי או על היכרות מזדמנת. המבחן השני, בדבר סטייה מן השורה, עניינו בהתנהגות של עובד הציבור. במסגרתו נבחנת השאלה עד כמה, אם בכלל, פעל עובד הציבור תוך חריגה מסמכות ובניגוד לכללים החלים עליו. המבחן השלישי בוחן את רום מעמדו של עובד הציבור ואת מידת השפעתו. ככל שמקומו של העובד בהיררכיה הארגונית גבוה יותר, וככל שהוא ממונה על מספר רב של ע</w:t>
      </w:r>
      <w:r>
        <w:rPr>
          <w:rFonts w:ascii="Arial TUR" w:hAnsi="Arial TUR" w:cs="FrankRuehl" w:hint="cs"/>
          <w:spacing w:val="10"/>
          <w:sz w:val="22"/>
          <w:szCs w:val="28"/>
          <w:rtl/>
        </w:rPr>
        <w:t>ובדים המבקשים ללמוד ממנו</w:t>
      </w:r>
      <w:r w:rsidRPr="007F5756">
        <w:rPr>
          <w:rFonts w:ascii="Arial TUR" w:hAnsi="Arial TUR" w:cs="FrankRuehl" w:hint="cs"/>
          <w:spacing w:val="10"/>
          <w:sz w:val="22"/>
          <w:szCs w:val="28"/>
          <w:rtl/>
        </w:rPr>
        <w:t>, כך תהא הפ</w:t>
      </w:r>
      <w:r>
        <w:rPr>
          <w:rFonts w:ascii="Arial TUR" w:hAnsi="Arial TUR" w:cs="FrankRuehl" w:hint="cs"/>
          <w:spacing w:val="10"/>
          <w:sz w:val="22"/>
          <w:szCs w:val="28"/>
          <w:rtl/>
        </w:rPr>
        <w:t>גיעה בערכים המוגנים מהותית יותר</w:t>
      </w:r>
      <w:r w:rsidRPr="007F5756">
        <w:rPr>
          <w:rFonts w:ascii="Arial TUR" w:hAnsi="Arial TUR" w:cs="FrankRuehl" w:hint="cs"/>
          <w:spacing w:val="10"/>
          <w:sz w:val="22"/>
          <w:szCs w:val="28"/>
          <w:rtl/>
        </w:rPr>
        <w:t xml:space="preserve"> (שם,</w:t>
      </w:r>
      <w:r>
        <w:rPr>
          <w:rFonts w:ascii="Arial TUR" w:hAnsi="Arial TUR" w:cs="FrankRuehl" w:hint="cs"/>
          <w:spacing w:val="10"/>
          <w:sz w:val="22"/>
          <w:szCs w:val="28"/>
          <w:rtl/>
        </w:rPr>
        <w:t xml:space="preserve"> עמ'</w:t>
      </w:r>
      <w:r w:rsidRPr="007F5756">
        <w:rPr>
          <w:rFonts w:ascii="Arial TUR" w:hAnsi="Arial TUR" w:cs="FrankRuehl" w:hint="cs"/>
          <w:spacing w:val="10"/>
          <w:sz w:val="22"/>
          <w:szCs w:val="28"/>
          <w:rtl/>
        </w:rPr>
        <w:t xml:space="preserve"> 421-419; </w:t>
      </w:r>
      <w:r w:rsidRPr="007F5756">
        <w:rPr>
          <w:rFonts w:ascii="Arial TUR" w:hAnsi="Arial TUR" w:cs="Miriam" w:hint="cs"/>
          <w:b/>
          <w:sz w:val="22"/>
          <w:rtl/>
        </w:rPr>
        <w:t>עניין חסן</w:t>
      </w:r>
      <w:r w:rsidRPr="007F5756">
        <w:rPr>
          <w:rFonts w:ascii="Arial TUR" w:hAnsi="Arial TUR" w:cs="FrankRuehl" w:hint="cs"/>
          <w:spacing w:val="10"/>
          <w:sz w:val="22"/>
          <w:szCs w:val="28"/>
          <w:rtl/>
        </w:rPr>
        <w:t>, פסקה 4 לחוות דעתי).</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ind w:firstLine="720"/>
        <w:jc w:val="both"/>
        <w:rPr>
          <w:rFonts w:ascii="Arial TUR" w:hAnsi="Arial TUR" w:cs="FrankRuehl"/>
          <w:spacing w:val="10"/>
          <w:sz w:val="22"/>
          <w:szCs w:val="28"/>
          <w:rtl/>
        </w:rPr>
      </w:pPr>
      <w:r w:rsidRPr="007F5756">
        <w:rPr>
          <w:rFonts w:ascii="Arial TUR" w:hAnsi="Arial TUR" w:cs="FrankRuehl" w:hint="cs"/>
          <w:spacing w:val="10"/>
          <w:sz w:val="22"/>
          <w:szCs w:val="28"/>
          <w:rtl/>
        </w:rPr>
        <w:t xml:space="preserve">המקרה שלפנינו עוסק בדרך נוספת שבה, לפי טענת התביעה, יכול להתבטא מעשה של הפרת אמונים. דרך זו הינה בחזרה שיטתית ומתמשכת על פעולות פסולות של </w:t>
      </w:r>
      <w:r w:rsidRPr="007F5756">
        <w:rPr>
          <w:rFonts w:ascii="Arial TUR" w:hAnsi="Arial TUR" w:cs="FrankRuehl" w:hint="cs"/>
          <w:spacing w:val="10"/>
          <w:sz w:val="22"/>
          <w:szCs w:val="28"/>
          <w:rtl/>
        </w:rPr>
        <w:lastRenderedPageBreak/>
        <w:t xml:space="preserve">עובד ציבור במסגרת תפקידו, אשר כל אחת ואחת מהן לבדה אינה חוצה את הרף הפלילי, אך בהצטברותן נפגעים באופן מהותי הערכים שביסוד העבירה. במה דברים אמורים?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Century" w:hAnsi="Century" w:cs="Miriam"/>
          <w:b/>
          <w:sz w:val="22"/>
          <w:rtl/>
        </w:rPr>
      </w:pPr>
      <w:r w:rsidRPr="007F5756">
        <w:rPr>
          <w:rFonts w:ascii="Century" w:hAnsi="Century" w:cs="Miriam"/>
          <w:b/>
          <w:sz w:val="22"/>
          <w:rtl/>
        </w:rPr>
        <w:tab/>
      </w:r>
      <w:r w:rsidRPr="007F5756">
        <w:rPr>
          <w:rFonts w:ascii="Century" w:hAnsi="Century" w:cs="Miriam" w:hint="cs"/>
          <w:b/>
          <w:sz w:val="22"/>
          <w:rtl/>
        </w:rPr>
        <w:t>עיקרי העובדות של המקרה הנדון</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hint="cs"/>
          <w:spacing w:val="10"/>
          <w:sz w:val="22"/>
          <w:szCs w:val="28"/>
          <w:rtl/>
        </w:rPr>
        <w:t>3.</w:t>
      </w:r>
      <w:r w:rsidRPr="007F5756">
        <w:rPr>
          <w:rFonts w:ascii="Arial TUR" w:hAnsi="Arial TUR" w:cs="FrankRuehl"/>
          <w:spacing w:val="10"/>
          <w:sz w:val="22"/>
          <w:szCs w:val="28"/>
          <w:rtl/>
        </w:rPr>
        <w:tab/>
      </w:r>
      <w:r w:rsidRPr="007F5756">
        <w:rPr>
          <w:rFonts w:ascii="Arial TUR" w:hAnsi="Arial TUR" w:cs="FrankRuehl" w:hint="cs"/>
          <w:spacing w:val="10"/>
          <w:sz w:val="22"/>
          <w:szCs w:val="28"/>
          <w:rtl/>
        </w:rPr>
        <w:t xml:space="preserve">בענייננו, הוגש נגד המבקש כתב אישום הכולל שמונה פרשיות. כל אחת מן הפרשיות מגוללת את התנהלותו הפסולה של המבקש כלפי שוטרת אחרת, בטווח השנים שבין 2012-2007. בתקופה זו שירת המבקש כקצין משטרה במספר תפקידים בכירים: ראשית כסגן מפקד מחוז ירושלים בדרגת תת-ניצב, לאחר מכן כראש האגף לתמיכה לוגיסטית בדרגת ניצב, ואז כמפקד מחוז ירושלים באותה דרגה. השוטרות כולן היו כפופות למבקש, במישרין או בעקיפין, ושירתו בתפקידים זוטרים במשטרה. במסגרת חמש פרשיות </w:t>
      </w:r>
      <w:r w:rsidRPr="007F5756">
        <w:rPr>
          <w:rFonts w:ascii="Arial TUR" w:hAnsi="Arial TUR" w:cs="FrankRuehl"/>
          <w:spacing w:val="10"/>
          <w:sz w:val="22"/>
          <w:szCs w:val="28"/>
          <w:rtl/>
        </w:rPr>
        <w:t>–</w:t>
      </w:r>
      <w:r w:rsidRPr="007F5756">
        <w:rPr>
          <w:rFonts w:ascii="Arial TUR" w:hAnsi="Arial TUR" w:cs="FrankRuehl" w:hint="cs"/>
          <w:spacing w:val="10"/>
          <w:sz w:val="22"/>
          <w:szCs w:val="28"/>
          <w:rtl/>
        </w:rPr>
        <w:t xml:space="preserve"> פרשיות 4-1 ו-8 </w:t>
      </w:r>
      <w:r w:rsidRPr="007F5756">
        <w:rPr>
          <w:rFonts w:ascii="Arial TUR" w:hAnsi="Arial TUR" w:cs="FrankRuehl"/>
          <w:spacing w:val="10"/>
          <w:sz w:val="22"/>
          <w:szCs w:val="28"/>
          <w:rtl/>
        </w:rPr>
        <w:t>–</w:t>
      </w:r>
      <w:r w:rsidRPr="007F5756">
        <w:rPr>
          <w:rFonts w:ascii="Arial TUR" w:hAnsi="Arial TUR" w:cs="FrankRuehl" w:hint="cs"/>
          <w:spacing w:val="10"/>
          <w:sz w:val="22"/>
          <w:szCs w:val="28"/>
          <w:rtl/>
        </w:rPr>
        <w:t xml:space="preserve"> נקבע כי המבקש יצר קשרים אינטימיים-מיניים אסורים עם השוטרות, בהסכמתן, כאשר הקשרים נשמרו בסוד ולא דווחו לממונים. קשרים אלה העמידו את המבקש במצב של ניגוד עניינים, כאשר בשלב מסוים לאחר הקשר האינטימי המבקש הוסיף ופעל בעניינן של השוטרות, בין אם מתוקף בקשות הנוגעות לתנאי שירותן שהגיעו לטיפולו, ובין אם מתוקף שנטל על עצמו במסגרת תפקידו לסייע להן בעניינים שונים. בשתי פרשיות נוספות, פרשיות 6 ו-7, הורשע המבקש בהתאמה גם בעבירה של מעשה מגונה בשוטרת שנישק בניגוד להסכמתה, ובעבירה של הטרדה מינית תוך ניצול מרות בשוטרת שלה שלח מסרונים בעלי אופי מיני.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hint="cs"/>
          <w:spacing w:val="10"/>
          <w:sz w:val="22"/>
          <w:szCs w:val="28"/>
          <w:rtl/>
        </w:rPr>
        <w:t>יוער כי לגבי פרשייה 5, נקבע שלא הוכח כי המבקש טיפל בבקשתה של השוטרת עמה קיים בעבר קשר אינטימי. בנוסף, בית משפט השלום החליט שלא להכריע בטענה כי המבקש נישק את השוטרת בניגוד לרצונה, מאחר שלא יוחסה לו בשל כך עבירת מין.</w:t>
      </w:r>
      <w:r>
        <w:rPr>
          <w:rFonts w:ascii="Arial TUR" w:hAnsi="Arial TUR" w:cs="FrankRuehl" w:hint="cs"/>
          <w:spacing w:val="10"/>
          <w:sz w:val="22"/>
          <w:szCs w:val="28"/>
          <w:rtl/>
        </w:rPr>
        <w:t xml:space="preserve"> אף בית המשפט המחוזי לא הכריע בסוגיה.</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r w:rsidRPr="007F5756">
        <w:rPr>
          <w:rFonts w:ascii="Arial TUR" w:hAnsi="Arial TUR" w:cs="FrankRuehl" w:hint="cs"/>
          <w:spacing w:val="10"/>
          <w:sz w:val="22"/>
          <w:szCs w:val="28"/>
          <w:rtl/>
        </w:rPr>
        <w:t xml:space="preserve">בכתב האישום נטען כי מעשיו של המבקש "הצטברו לכדי התנהגות כוללת שהיא בגדר מעשה הפרת אמונים הפוגע בציבור" (סעיף 21 לכתב האישום). בהתאם, יוחסה למבקש עבירה אחת של הפרת אמונים בגין התנהגותו הכוללת בכל הפרשיות.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r w:rsidRPr="007F5756">
        <w:rPr>
          <w:rFonts w:ascii="Arial TUR" w:hAnsi="Arial TUR" w:cs="FrankRuehl" w:hint="cs"/>
          <w:spacing w:val="10"/>
          <w:sz w:val="22"/>
          <w:szCs w:val="28"/>
          <w:rtl/>
        </w:rPr>
        <w:t xml:space="preserve">בית משפט השלום (כב' השופט </w:t>
      </w:r>
      <w:r w:rsidRPr="007F5756">
        <w:rPr>
          <w:rFonts w:ascii="Miriam" w:hAnsi="Miriam" w:cs="Miriam"/>
          <w:spacing w:val="10"/>
          <w:rtl/>
        </w:rPr>
        <w:t>ב' שגיא</w:t>
      </w:r>
      <w:r w:rsidRPr="007F5756">
        <w:rPr>
          <w:rFonts w:ascii="Arial TUR" w:hAnsi="Arial TUR" w:cs="FrankRuehl" w:hint="cs"/>
          <w:spacing w:val="10"/>
          <w:sz w:val="22"/>
          <w:szCs w:val="28"/>
          <w:rtl/>
        </w:rPr>
        <w:t>, ת"פ 31283-10-13) הבין את האישום בהפרת אמונים ככזה המוגבל רק לפעולות שביצע המבקש בניגוד עניי</w:t>
      </w:r>
      <w:r>
        <w:rPr>
          <w:rFonts w:ascii="Arial TUR" w:hAnsi="Arial TUR" w:cs="FrankRuehl" w:hint="cs"/>
          <w:spacing w:val="10"/>
          <w:sz w:val="22"/>
          <w:szCs w:val="28"/>
          <w:rtl/>
        </w:rPr>
        <w:t>נים עת טיפל בבקשות של השוטרות ע</w:t>
      </w:r>
      <w:r w:rsidRPr="007F5756">
        <w:rPr>
          <w:rFonts w:ascii="Arial TUR" w:hAnsi="Arial TUR" w:cs="FrankRuehl" w:hint="cs"/>
          <w:spacing w:val="10"/>
          <w:sz w:val="22"/>
          <w:szCs w:val="28"/>
          <w:rtl/>
        </w:rPr>
        <w:t xml:space="preserve">מן קיים קשר אינטימי, כפי שנקבע בפרשיות 4-1 ו-8. לאחר שבחן כל פעולה כזו כשהיא עומדת לבדה, קבע כי אף אחת מן הפעולות אינה חוצה את הרף הפלילי, תוך שציין כי ברוב המקרים ניגוד העניינים הינו "בעוצמה חלשה ביותר, הרחוקה מרחק ניכר מאד מהמתחם הפלילי" (פסקה ד'6 לפסק דינו של בית משפט </w:t>
      </w:r>
      <w:r w:rsidRPr="007F5756">
        <w:rPr>
          <w:rFonts w:ascii="Arial TUR" w:hAnsi="Arial TUR" w:cs="FrankRuehl" w:hint="cs"/>
          <w:spacing w:val="10"/>
          <w:sz w:val="22"/>
          <w:szCs w:val="28"/>
          <w:rtl/>
        </w:rPr>
        <w:lastRenderedPageBreak/>
        <w:t xml:space="preserve">השלום). בהמשך, נדחתה האפשרות לצבור את הפעולות לכדי מכלול פלילי אחד, בהתאם לתזת הצבירה.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r w:rsidRPr="007F5756">
        <w:rPr>
          <w:rFonts w:ascii="Arial TUR" w:hAnsi="Arial TUR" w:cs="FrankRuehl" w:hint="cs"/>
          <w:spacing w:val="10"/>
          <w:sz w:val="22"/>
          <w:szCs w:val="28"/>
          <w:rtl/>
        </w:rPr>
        <w:t xml:space="preserve">בית המשפט המחוזי (כב' השופטת העמיתה </w:t>
      </w:r>
      <w:r w:rsidRPr="007F5756">
        <w:rPr>
          <w:rFonts w:ascii="Century" w:hAnsi="Century" w:cs="Miriam" w:hint="cs"/>
          <w:b/>
          <w:sz w:val="22"/>
          <w:rtl/>
        </w:rPr>
        <w:t>מ' דיסקין</w:t>
      </w:r>
      <w:r w:rsidRPr="007F5756">
        <w:rPr>
          <w:rFonts w:ascii="Arial TUR" w:hAnsi="Arial TUR" w:cs="FrankRuehl" w:hint="cs"/>
          <w:spacing w:val="10"/>
          <w:sz w:val="22"/>
          <w:szCs w:val="28"/>
          <w:rtl/>
        </w:rPr>
        <w:t xml:space="preserve"> (אב"ד), וכב' השופטים </w:t>
      </w:r>
      <w:r w:rsidRPr="007F5756">
        <w:rPr>
          <w:rFonts w:ascii="Century" w:hAnsi="Century" w:cs="Miriam" w:hint="cs"/>
          <w:b/>
          <w:sz w:val="22"/>
          <w:rtl/>
        </w:rPr>
        <w:t>מ' לוי</w:t>
      </w:r>
      <w:r w:rsidRPr="007F5756">
        <w:rPr>
          <w:rFonts w:ascii="Arial TUR" w:hAnsi="Arial TUR" w:cs="FrankRuehl" w:hint="cs"/>
          <w:spacing w:val="10"/>
          <w:sz w:val="22"/>
          <w:szCs w:val="28"/>
          <w:rtl/>
        </w:rPr>
        <w:t xml:space="preserve"> ו-</w:t>
      </w:r>
      <w:r w:rsidRPr="007F5756">
        <w:rPr>
          <w:rFonts w:ascii="Century" w:hAnsi="Century" w:cs="Miriam" w:hint="cs"/>
          <w:b/>
          <w:sz w:val="22"/>
          <w:rtl/>
        </w:rPr>
        <w:t>ג' רביד</w:t>
      </w:r>
      <w:r w:rsidRPr="007F5756">
        <w:rPr>
          <w:rFonts w:ascii="Arial TUR" w:hAnsi="Arial TUR" w:cs="FrankRuehl" w:hint="cs"/>
          <w:spacing w:val="10"/>
          <w:sz w:val="22"/>
          <w:szCs w:val="28"/>
          <w:rtl/>
        </w:rPr>
        <w:t xml:space="preserve">) מנגד הסתכל על התנהגותו הכוללת של המבקש, כאשר בתוך כך נבחן גם דפוס פעולתו ביצירת קשרים אינטימיים אסורים עם כפיפות, בנוסף על הפעולות בניגוד עניינים שביצע </w:t>
      </w:r>
      <w:r>
        <w:rPr>
          <w:rFonts w:ascii="Arial TUR" w:hAnsi="Arial TUR" w:cs="FrankRuehl" w:hint="cs"/>
          <w:spacing w:val="10"/>
          <w:sz w:val="22"/>
          <w:szCs w:val="28"/>
          <w:rtl/>
        </w:rPr>
        <w:t xml:space="preserve">בהמשך </w:t>
      </w:r>
      <w:r w:rsidRPr="007F5756">
        <w:rPr>
          <w:rFonts w:ascii="Arial TUR" w:hAnsi="Arial TUR" w:cs="FrankRuehl" w:hint="cs"/>
          <w:spacing w:val="10"/>
          <w:sz w:val="22"/>
          <w:szCs w:val="28"/>
          <w:rtl/>
        </w:rPr>
        <w:t>לגבי אותן כפיפות. ביחס לפעולות אחרונות אלה, ציין בית המשפט המחוזי כי הוא אינו מסכים למסקנה כי כל פעולה כזו כשלעצמה לא עולה כדי עבירה פלילית (עמ' 70 לפסק דינו של בית המשפט המחוזי). עם זאת, מאחר שנמצא כי יש לקבל את תזת הצבירה, לא נִטעו מסמרות בעניין, ונקבע כי "</w:t>
      </w:r>
      <w:r w:rsidRPr="007F5756">
        <w:rPr>
          <w:rFonts w:ascii="Arial TUR" w:hAnsi="Arial TUR" w:cs="FrankRuehl"/>
          <w:spacing w:val="10"/>
          <w:sz w:val="22"/>
          <w:szCs w:val="28"/>
          <w:rtl/>
        </w:rPr>
        <w:t xml:space="preserve">בחינת התנהלותו של שחם בכל הפרשות שנידונו לעיל, אינה מותירה מקום לספק כי מדובר בהתנהלות אשר חוצה את הרף הפלילי הנדרש </w:t>
      </w:r>
      <w:proofErr w:type="spellStart"/>
      <w:r w:rsidRPr="007F5756">
        <w:rPr>
          <w:rFonts w:ascii="Arial TUR" w:hAnsi="Arial TUR" w:cs="FrankRuehl"/>
          <w:spacing w:val="10"/>
          <w:sz w:val="22"/>
          <w:szCs w:val="28"/>
          <w:rtl/>
        </w:rPr>
        <w:t>בכגון</w:t>
      </w:r>
      <w:proofErr w:type="spellEnd"/>
      <w:r w:rsidRPr="007F5756">
        <w:rPr>
          <w:rFonts w:ascii="Arial TUR" w:hAnsi="Arial TUR" w:cs="FrankRuehl"/>
          <w:spacing w:val="10"/>
          <w:sz w:val="22"/>
          <w:szCs w:val="28"/>
          <w:rtl/>
        </w:rPr>
        <w:t xml:space="preserve"> דא, </w:t>
      </w:r>
      <w:r w:rsidRPr="007F5756">
        <w:rPr>
          <w:rFonts w:ascii="Arial TUR" w:hAnsi="Arial TUR" w:cs="FrankRuehl" w:hint="cs"/>
          <w:spacing w:val="10"/>
          <w:sz w:val="22"/>
          <w:szCs w:val="28"/>
          <w:rtl/>
        </w:rPr>
        <w:t xml:space="preserve">[...] </w:t>
      </w:r>
      <w:r w:rsidRPr="007F5756">
        <w:rPr>
          <w:rFonts w:ascii="Arial TUR" w:hAnsi="Arial TUR" w:cs="FrankRuehl"/>
          <w:spacing w:val="10"/>
          <w:sz w:val="22"/>
          <w:szCs w:val="28"/>
          <w:rtl/>
        </w:rPr>
        <w:t>אף מבלי להידרש לשאלה האם כל אחד מן המעשים המרכיבים התנהלות זו מגבש לבדו עבירה עצמאית אם לאו</w:t>
      </w:r>
      <w:r>
        <w:rPr>
          <w:rFonts w:ascii="Arial TUR" w:hAnsi="Arial TUR" w:cs="FrankRuehl" w:hint="cs"/>
          <w:spacing w:val="10"/>
          <w:sz w:val="22"/>
          <w:szCs w:val="28"/>
          <w:rtl/>
        </w:rPr>
        <w:t>"</w:t>
      </w:r>
      <w:r w:rsidRPr="007F5756">
        <w:rPr>
          <w:rFonts w:ascii="Arial TUR" w:hAnsi="Arial TUR" w:cs="FrankRuehl" w:hint="cs"/>
          <w:spacing w:val="10"/>
          <w:sz w:val="22"/>
          <w:szCs w:val="28"/>
          <w:rtl/>
        </w:rPr>
        <w:t xml:space="preserve"> (שם, עמ' 79).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hint="cs"/>
          <w:spacing w:val="10"/>
          <w:sz w:val="22"/>
          <w:szCs w:val="28"/>
          <w:rtl/>
        </w:rPr>
        <w:t>4.</w:t>
      </w:r>
      <w:r w:rsidRPr="007F5756">
        <w:rPr>
          <w:rFonts w:ascii="Arial TUR" w:hAnsi="Arial TUR" w:cs="FrankRuehl"/>
          <w:spacing w:val="10"/>
          <w:sz w:val="22"/>
          <w:szCs w:val="28"/>
          <w:rtl/>
        </w:rPr>
        <w:tab/>
      </w:r>
      <w:r w:rsidRPr="007F5756">
        <w:rPr>
          <w:rFonts w:ascii="Arial TUR" w:hAnsi="Arial TUR" w:cs="FrankRuehl" w:hint="cs"/>
          <w:spacing w:val="10"/>
          <w:sz w:val="22"/>
          <w:szCs w:val="28"/>
          <w:rtl/>
        </w:rPr>
        <w:t xml:space="preserve">השאלה המונחת לפתחנו עוסקת אפוא בהחלתה של תזת הצבירה בעניינו של המבקש. יובהר כי הנחה מוקדמת שעליה מבוסס הדיון, היא כי כל מעשה המרכיב את התנהלותו של המבקש, כשהוא לבדו, אינו מגבש עבירה פלילית. אף שאינני בטוח כי הנחה זו נכונה, למצער בנוגע להתנהלותו של המבקש בחלק מן הפרשיות, אצא מנקודת הנחה שכך הדבר. זאת, מקום שהמדינה לא טענה אחרת, ולאור מסקנתי שלפיה ממילא הצטברות המעשים מגבשת מכלול החוצה את הרף הפלילי. מסקנה זו תבואר להלן. </w:t>
      </w:r>
      <w:r>
        <w:rPr>
          <w:rFonts w:ascii="Arial TUR" w:hAnsi="Arial TUR" w:cs="FrankRuehl" w:hint="cs"/>
          <w:spacing w:val="10"/>
          <w:sz w:val="22"/>
          <w:szCs w:val="28"/>
          <w:rtl/>
        </w:rPr>
        <w:t xml:space="preserve">תחילה יובא הדיון </w:t>
      </w:r>
      <w:r w:rsidRPr="007F5756">
        <w:rPr>
          <w:rFonts w:ascii="Arial TUR" w:hAnsi="Arial TUR" w:cs="FrankRuehl" w:hint="cs"/>
          <w:spacing w:val="10"/>
          <w:sz w:val="22"/>
          <w:szCs w:val="28"/>
          <w:rtl/>
        </w:rPr>
        <w:t xml:space="preserve">בתזת הצבירה. לאחר מכן, ייושמו הדברים על נסיבות המקרה הנדון.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Century" w:hAnsi="Century" w:cs="Miriam"/>
          <w:b/>
          <w:sz w:val="22"/>
          <w:rtl/>
        </w:rPr>
      </w:pPr>
      <w:r w:rsidRPr="007F5756">
        <w:rPr>
          <w:rFonts w:ascii="Century" w:hAnsi="Century" w:cs="Miriam"/>
          <w:b/>
          <w:sz w:val="22"/>
          <w:rtl/>
        </w:rPr>
        <w:tab/>
      </w:r>
      <w:r w:rsidRPr="007F5756">
        <w:rPr>
          <w:rFonts w:ascii="Century" w:hAnsi="Century" w:cs="Miriam" w:hint="cs"/>
          <w:b/>
          <w:sz w:val="22"/>
          <w:rtl/>
        </w:rPr>
        <w:t>תזת הצבירה</w:t>
      </w:r>
    </w:p>
    <w:p w:rsidR="00D865EA" w:rsidRPr="007F5756" w:rsidRDefault="00D865EA" w:rsidP="00D865EA">
      <w:pPr>
        <w:tabs>
          <w:tab w:val="left" w:pos="800"/>
        </w:tabs>
        <w:spacing w:line="360" w:lineRule="auto"/>
        <w:jc w:val="both"/>
        <w:rPr>
          <w:rFonts w:ascii="Century" w:hAnsi="Century" w:cs="Miriam"/>
          <w:b/>
          <w:sz w:val="22"/>
          <w:rtl/>
        </w:rPr>
      </w:pPr>
    </w:p>
    <w:p w:rsidR="00D865EA" w:rsidRPr="007F5756" w:rsidRDefault="00D865EA" w:rsidP="00D865EA">
      <w:pPr>
        <w:tabs>
          <w:tab w:val="left" w:pos="800"/>
        </w:tabs>
        <w:spacing w:line="360" w:lineRule="auto"/>
        <w:jc w:val="both"/>
        <w:rPr>
          <w:rFonts w:ascii="Century" w:hAnsi="Century" w:cs="FrankRuehl"/>
          <w:spacing w:val="10"/>
          <w:sz w:val="22"/>
          <w:szCs w:val="28"/>
          <w:rtl/>
        </w:rPr>
      </w:pPr>
      <w:r w:rsidRPr="007F5756">
        <w:rPr>
          <w:rFonts w:ascii="Century" w:hAnsi="Century" w:cs="FrankRuehl" w:hint="cs"/>
          <w:spacing w:val="10"/>
          <w:sz w:val="22"/>
          <w:szCs w:val="28"/>
          <w:rtl/>
        </w:rPr>
        <w:t>5.</w:t>
      </w:r>
      <w:r w:rsidRPr="007F5756">
        <w:rPr>
          <w:rFonts w:ascii="Century" w:hAnsi="Century" w:cs="FrankRuehl"/>
          <w:spacing w:val="10"/>
          <w:sz w:val="22"/>
          <w:szCs w:val="28"/>
          <w:rtl/>
        </w:rPr>
        <w:tab/>
      </w:r>
      <w:r w:rsidRPr="007F5756">
        <w:rPr>
          <w:rFonts w:ascii="Century" w:hAnsi="Century" w:cs="FrankRuehl" w:hint="cs"/>
          <w:spacing w:val="10"/>
          <w:sz w:val="22"/>
          <w:szCs w:val="28"/>
          <w:rtl/>
        </w:rPr>
        <w:t xml:space="preserve">הצדדים נחלקו בשאלה האם היישום של תזת הצבירה הינו בגדר חידוש בפסיקה. כפי שתואר בחוות דעתו של חברי, המדינה הפנתה למספר פסקי דין שלטענתה תומכים, הלכה למעשה, באימוצה של תזה זו. בחינת הדברים מעלה כי אף שלא קיימת פסיקה שקובעת במפורש כי ניתן לבסס הרשעה בעבירת הפרת אמונים על מצבור מעשים </w:t>
      </w:r>
      <w:r>
        <w:rPr>
          <w:rFonts w:ascii="Century" w:hAnsi="Century" w:cs="FrankRuehl" w:hint="cs"/>
          <w:spacing w:val="10"/>
          <w:sz w:val="22"/>
          <w:szCs w:val="28"/>
          <w:rtl/>
        </w:rPr>
        <w:t>אשר לבדם אינם מגבשים את העבירה</w:t>
      </w:r>
      <w:r w:rsidRPr="007F5756">
        <w:rPr>
          <w:rFonts w:ascii="Century" w:hAnsi="Century" w:cs="FrankRuehl" w:hint="cs"/>
          <w:spacing w:val="10"/>
          <w:sz w:val="22"/>
          <w:szCs w:val="28"/>
          <w:rtl/>
        </w:rPr>
        <w:t xml:space="preserve">, לא ניתן לומר כי הפסיקה אינה נוקטת כל עמדה בנושא. </w:t>
      </w:r>
    </w:p>
    <w:p w:rsidR="00D865EA" w:rsidRDefault="00D865EA" w:rsidP="00D865EA">
      <w:pPr>
        <w:tabs>
          <w:tab w:val="left" w:pos="800"/>
        </w:tabs>
        <w:spacing w:line="360" w:lineRule="auto"/>
        <w:jc w:val="both"/>
        <w:rPr>
          <w:rFonts w:ascii="Century" w:hAnsi="Century" w:cs="FrankRuehl"/>
          <w:spacing w:val="10"/>
          <w:sz w:val="22"/>
          <w:szCs w:val="28"/>
          <w:rtl/>
        </w:rPr>
      </w:pPr>
    </w:p>
    <w:p w:rsidR="00892B63" w:rsidRDefault="00892B63" w:rsidP="00D865EA">
      <w:pPr>
        <w:tabs>
          <w:tab w:val="left" w:pos="800"/>
        </w:tabs>
        <w:spacing w:line="360" w:lineRule="auto"/>
        <w:jc w:val="both"/>
        <w:rPr>
          <w:rFonts w:ascii="Century" w:hAnsi="Century" w:cs="FrankRuehl"/>
          <w:spacing w:val="10"/>
          <w:sz w:val="22"/>
          <w:szCs w:val="28"/>
          <w:rtl/>
        </w:rPr>
      </w:pPr>
    </w:p>
    <w:p w:rsidR="00892B63" w:rsidRDefault="00892B63" w:rsidP="00D865EA">
      <w:pPr>
        <w:tabs>
          <w:tab w:val="left" w:pos="800"/>
        </w:tabs>
        <w:spacing w:line="360" w:lineRule="auto"/>
        <w:jc w:val="both"/>
        <w:rPr>
          <w:rFonts w:ascii="Century" w:hAnsi="Century" w:cs="FrankRuehl"/>
          <w:spacing w:val="10"/>
          <w:sz w:val="22"/>
          <w:szCs w:val="28"/>
          <w:rtl/>
        </w:rPr>
      </w:pPr>
    </w:p>
    <w:p w:rsidR="00892B63" w:rsidRDefault="00892B63" w:rsidP="00D865EA">
      <w:pPr>
        <w:tabs>
          <w:tab w:val="left" w:pos="800"/>
        </w:tabs>
        <w:spacing w:line="360" w:lineRule="auto"/>
        <w:jc w:val="both"/>
        <w:rPr>
          <w:rFonts w:ascii="Century" w:hAnsi="Century" w:cs="FrankRuehl"/>
          <w:spacing w:val="10"/>
          <w:sz w:val="22"/>
          <w:szCs w:val="28"/>
          <w:rtl/>
        </w:rPr>
      </w:pPr>
    </w:p>
    <w:p w:rsidR="00892B63" w:rsidRPr="007F5756" w:rsidRDefault="00892B63" w:rsidP="00D865EA">
      <w:pPr>
        <w:tabs>
          <w:tab w:val="left" w:pos="800"/>
        </w:tabs>
        <w:spacing w:line="360" w:lineRule="auto"/>
        <w:jc w:val="both"/>
        <w:rPr>
          <w:rFonts w:ascii="Century" w:hAnsi="Century" w:cs="FrankRuehl"/>
          <w:spacing w:val="10"/>
          <w:sz w:val="22"/>
          <w:szCs w:val="28"/>
          <w:rtl/>
        </w:rPr>
      </w:pPr>
    </w:p>
    <w:p w:rsidR="00D865EA" w:rsidRPr="007F5756" w:rsidRDefault="00D865EA" w:rsidP="00D865EA">
      <w:pPr>
        <w:tabs>
          <w:tab w:val="left" w:pos="800"/>
        </w:tabs>
        <w:spacing w:line="360" w:lineRule="auto"/>
        <w:jc w:val="both"/>
        <w:rPr>
          <w:rFonts w:ascii="Miriam" w:hAnsi="Miriam" w:cs="Miriam"/>
          <w:spacing w:val="10"/>
          <w:sz w:val="22"/>
          <w:szCs w:val="28"/>
          <w:rtl/>
        </w:rPr>
      </w:pPr>
      <w:r w:rsidRPr="007F5756">
        <w:rPr>
          <w:rFonts w:ascii="Century" w:hAnsi="Century" w:cs="FrankRuehl"/>
          <w:spacing w:val="10"/>
          <w:sz w:val="22"/>
          <w:szCs w:val="28"/>
          <w:rtl/>
        </w:rPr>
        <w:lastRenderedPageBreak/>
        <w:tab/>
      </w:r>
      <w:r w:rsidRPr="007F5756">
        <w:rPr>
          <w:rFonts w:ascii="Miriam" w:hAnsi="Miriam" w:cs="Miriam" w:hint="cs"/>
          <w:spacing w:val="10"/>
          <w:rtl/>
        </w:rPr>
        <w:t>הפסיקה המתייחסת להתנהגות כוללת כמעשה הפרת אמונים</w:t>
      </w:r>
    </w:p>
    <w:p w:rsidR="00D865EA" w:rsidRPr="007F5756" w:rsidRDefault="00D865EA" w:rsidP="00D865EA">
      <w:pPr>
        <w:tabs>
          <w:tab w:val="left" w:pos="800"/>
        </w:tabs>
        <w:spacing w:line="360" w:lineRule="auto"/>
        <w:jc w:val="both"/>
        <w:rPr>
          <w:rFonts w:ascii="Century" w:hAnsi="Century" w:cs="FrankRuehl"/>
          <w:spacing w:val="10"/>
          <w:sz w:val="22"/>
          <w:szCs w:val="28"/>
          <w:rtl/>
        </w:rPr>
      </w:pPr>
    </w:p>
    <w:p w:rsidR="00D865EA" w:rsidRPr="007F5756" w:rsidRDefault="00D865EA" w:rsidP="00D865EA">
      <w:pPr>
        <w:tabs>
          <w:tab w:val="left" w:pos="800"/>
        </w:tabs>
        <w:spacing w:line="360" w:lineRule="auto"/>
        <w:jc w:val="both"/>
        <w:rPr>
          <w:rFonts w:ascii="Century" w:hAnsi="Century" w:cs="FrankRuehl"/>
          <w:spacing w:val="10"/>
          <w:sz w:val="22"/>
          <w:szCs w:val="28"/>
          <w:rtl/>
        </w:rPr>
      </w:pPr>
      <w:r w:rsidRPr="007F5756">
        <w:rPr>
          <w:rFonts w:ascii="Century" w:hAnsi="Century" w:cs="FrankRuehl" w:hint="cs"/>
          <w:spacing w:val="10"/>
          <w:sz w:val="22"/>
          <w:szCs w:val="28"/>
          <w:rtl/>
        </w:rPr>
        <w:t>6.</w:t>
      </w:r>
      <w:r w:rsidRPr="007F5756">
        <w:rPr>
          <w:rFonts w:ascii="Century" w:hAnsi="Century" w:cs="FrankRuehl"/>
          <w:spacing w:val="10"/>
          <w:sz w:val="22"/>
          <w:szCs w:val="28"/>
          <w:rtl/>
        </w:rPr>
        <w:tab/>
      </w:r>
      <w:r w:rsidRPr="007F5756">
        <w:rPr>
          <w:rFonts w:ascii="Century" w:hAnsi="Century" w:cs="FrankRuehl" w:hint="cs"/>
          <w:spacing w:val="10"/>
          <w:sz w:val="22"/>
          <w:szCs w:val="28"/>
          <w:rtl/>
        </w:rPr>
        <w:t xml:space="preserve">במספר מקרים הורשעו עובדי ציבור בעבירה אחת של הפרת אמונים בגין </w:t>
      </w:r>
      <w:r>
        <w:rPr>
          <w:rFonts w:ascii="Century" w:hAnsi="Century" w:cs="FrankRuehl" w:hint="cs"/>
          <w:spacing w:val="10"/>
          <w:sz w:val="22"/>
          <w:szCs w:val="28"/>
          <w:rtl/>
        </w:rPr>
        <w:t>דפוס התנהגות מתמשך שנקטו בו, אשר כלל</w:t>
      </w:r>
      <w:r w:rsidRPr="007F5756">
        <w:rPr>
          <w:rFonts w:ascii="Century" w:hAnsi="Century" w:cs="FrankRuehl" w:hint="cs"/>
          <w:spacing w:val="10"/>
          <w:sz w:val="22"/>
          <w:szCs w:val="28"/>
          <w:rtl/>
        </w:rPr>
        <w:t xml:space="preserve"> מספר מעשים שונים, וזאת מבלי שבית המשפט נדרש לבחון אם כל מעשה מגבש עבירה עצמאית כשהוא לבדו. </w:t>
      </w:r>
    </w:p>
    <w:p w:rsidR="00D865EA" w:rsidRPr="007F5756" w:rsidRDefault="00D865EA" w:rsidP="00D865EA">
      <w:pPr>
        <w:tabs>
          <w:tab w:val="left" w:pos="800"/>
        </w:tabs>
        <w:spacing w:line="360" w:lineRule="auto"/>
        <w:jc w:val="both"/>
        <w:rPr>
          <w:rFonts w:ascii="Century" w:hAnsi="Century"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Century" w:hAnsi="Century" w:cs="FrankRuehl"/>
          <w:spacing w:val="10"/>
          <w:sz w:val="22"/>
          <w:szCs w:val="28"/>
          <w:rtl/>
        </w:rPr>
        <w:tab/>
      </w:r>
      <w:r w:rsidRPr="007F5756">
        <w:rPr>
          <w:rFonts w:ascii="Century" w:hAnsi="Century" w:cs="FrankRuehl" w:hint="cs"/>
          <w:spacing w:val="10"/>
          <w:sz w:val="22"/>
          <w:szCs w:val="28"/>
          <w:rtl/>
        </w:rPr>
        <w:t xml:space="preserve">כך למשל נעשה בעניין </w:t>
      </w:r>
      <w:r w:rsidRPr="007F5756">
        <w:rPr>
          <w:rFonts w:ascii="Century" w:hAnsi="Century" w:cs="Miriam" w:hint="cs"/>
          <w:b/>
          <w:sz w:val="22"/>
          <w:rtl/>
        </w:rPr>
        <w:t>שבס</w:t>
      </w:r>
      <w:r w:rsidRPr="007F5756">
        <w:rPr>
          <w:rFonts w:ascii="Century" w:hAnsi="Century" w:cs="FrankRuehl" w:hint="cs"/>
          <w:spacing w:val="10"/>
          <w:sz w:val="22"/>
          <w:szCs w:val="28"/>
          <w:rtl/>
        </w:rPr>
        <w:t xml:space="preserve">. </w:t>
      </w:r>
      <w:r w:rsidRPr="007F5756">
        <w:rPr>
          <w:rFonts w:ascii="Arial TUR" w:hAnsi="Arial TUR" w:cs="FrankRuehl" w:hint="cs"/>
          <w:spacing w:val="10"/>
          <w:sz w:val="22"/>
          <w:szCs w:val="28"/>
          <w:rtl/>
        </w:rPr>
        <w:t xml:space="preserve">אחת הפרשות שנידונה באותו עניין נסבה על הסיוע שנתן שבס, אז מנכ"ל משרד ראש הממשלה, למקורביו בקשר לפרויקטים לבנייה שהם ביקשו לקדם. מעשיו באותה פרשה כללו, בין היתר, מספר שיחות עם יושב ראש הוועדה המחוזית לתכנון ולבנייה; פניות ישירות ועקיפות לוועדה; פגישה עם מנכ"ל משרד הפנים; והנחיית עובדי האגף לסייע בקידום אחד הפרויקטים (שם, עמ' 394ד'-ה'). בגין מכלול הפעולות הללו הורשע שבס בעבירה אחת של הפרת אמונים, מבלי שבית המשפט בחן אם כל פעולה שבוצעה בניגוד עניינים, כשהיא לבדה, חוצה את הרף הפלילי או לאו.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r w:rsidRPr="007F5756">
        <w:rPr>
          <w:rFonts w:ascii="Arial TUR" w:hAnsi="Arial TUR" w:cs="FrankRuehl" w:hint="cs"/>
          <w:spacing w:val="10"/>
          <w:sz w:val="22"/>
          <w:szCs w:val="28"/>
          <w:rtl/>
        </w:rPr>
        <w:t xml:space="preserve">דוגמה אחרת מצויה בעניין </w:t>
      </w:r>
      <w:r w:rsidRPr="007F5756">
        <w:rPr>
          <w:rFonts w:ascii="Century" w:hAnsi="Century" w:cs="Miriam" w:hint="cs"/>
          <w:b/>
          <w:sz w:val="22"/>
          <w:rtl/>
        </w:rPr>
        <w:t>אולמרט</w:t>
      </w:r>
      <w:r w:rsidRPr="007F5756">
        <w:rPr>
          <w:rFonts w:ascii="Arial TUR" w:hAnsi="Arial TUR" w:cs="FrankRuehl" w:hint="cs"/>
          <w:spacing w:val="10"/>
          <w:sz w:val="22"/>
          <w:szCs w:val="28"/>
          <w:rtl/>
        </w:rPr>
        <w:t xml:space="preserve"> (</w:t>
      </w:r>
      <w:r w:rsidRPr="007F5756">
        <w:rPr>
          <w:rFonts w:ascii="Arial TUR" w:hAnsi="Arial TUR" w:cs="FrankRuehl" w:hint="eastAsia"/>
          <w:spacing w:val="10"/>
          <w:sz w:val="22"/>
          <w:szCs w:val="28"/>
          <w:rtl/>
        </w:rPr>
        <w:t>ע</w:t>
      </w:r>
      <w:r w:rsidRPr="007F5756">
        <w:rPr>
          <w:rFonts w:ascii="Arial TUR" w:hAnsi="Arial TUR" w:cs="FrankRuehl"/>
          <w:spacing w:val="10"/>
          <w:sz w:val="22"/>
          <w:szCs w:val="28"/>
          <w:rtl/>
        </w:rPr>
        <w:t>"</w:t>
      </w:r>
      <w:r w:rsidRPr="007F5756">
        <w:rPr>
          <w:rFonts w:ascii="Arial TUR" w:hAnsi="Arial TUR" w:cs="FrankRuehl" w:hint="eastAsia"/>
          <w:spacing w:val="10"/>
          <w:sz w:val="22"/>
          <w:szCs w:val="28"/>
          <w:rtl/>
        </w:rPr>
        <w:t>פ</w:t>
      </w:r>
      <w:r w:rsidRPr="007F5756">
        <w:rPr>
          <w:rFonts w:ascii="Arial TUR" w:hAnsi="Arial TUR" w:cs="FrankRuehl"/>
          <w:spacing w:val="10"/>
          <w:sz w:val="22"/>
          <w:szCs w:val="28"/>
          <w:rtl/>
        </w:rPr>
        <w:t xml:space="preserve"> 8080/12 </w:t>
      </w:r>
      <w:r w:rsidRPr="007F5756">
        <w:rPr>
          <w:rFonts w:ascii="Century" w:hAnsi="Century" w:cs="Miriam" w:hint="eastAsia"/>
          <w:b/>
          <w:sz w:val="22"/>
          <w:rtl/>
        </w:rPr>
        <w:t>מדינת</w:t>
      </w:r>
      <w:r w:rsidRPr="007F5756">
        <w:rPr>
          <w:rFonts w:ascii="Century" w:hAnsi="Century" w:cs="Miriam"/>
          <w:b/>
          <w:sz w:val="22"/>
          <w:rtl/>
        </w:rPr>
        <w:t xml:space="preserve"> </w:t>
      </w:r>
      <w:r w:rsidRPr="007F5756">
        <w:rPr>
          <w:rFonts w:ascii="Century" w:hAnsi="Century" w:cs="Miriam" w:hint="eastAsia"/>
          <w:b/>
          <w:sz w:val="22"/>
          <w:rtl/>
        </w:rPr>
        <w:t>ישראל</w:t>
      </w:r>
      <w:r w:rsidRPr="007F5756">
        <w:rPr>
          <w:rFonts w:ascii="Century" w:hAnsi="Century" w:cs="Miriam"/>
          <w:b/>
          <w:sz w:val="22"/>
          <w:rtl/>
        </w:rPr>
        <w:t xml:space="preserve"> </w:t>
      </w:r>
      <w:r w:rsidRPr="007F5756">
        <w:rPr>
          <w:rFonts w:ascii="Century" w:hAnsi="Century" w:cs="Miriam" w:hint="eastAsia"/>
          <w:b/>
          <w:sz w:val="22"/>
          <w:rtl/>
        </w:rPr>
        <w:t>נ</w:t>
      </w:r>
      <w:r w:rsidRPr="007F5756">
        <w:rPr>
          <w:rFonts w:ascii="Century" w:hAnsi="Century" w:cs="Miriam"/>
          <w:b/>
          <w:sz w:val="22"/>
          <w:rtl/>
        </w:rPr>
        <w:t xml:space="preserve">' </w:t>
      </w:r>
      <w:r w:rsidRPr="007F5756">
        <w:rPr>
          <w:rFonts w:ascii="Century" w:hAnsi="Century" w:cs="Miriam" w:hint="eastAsia"/>
          <w:b/>
          <w:sz w:val="22"/>
          <w:rtl/>
        </w:rPr>
        <w:t>אולמרט</w:t>
      </w:r>
      <w:r w:rsidRPr="007F5756">
        <w:rPr>
          <w:rFonts w:ascii="Arial TUR" w:hAnsi="Arial TUR" w:cs="FrankRuehl"/>
          <w:spacing w:val="10"/>
          <w:sz w:val="22"/>
          <w:szCs w:val="28"/>
          <w:rtl/>
        </w:rPr>
        <w:t xml:space="preserve"> (28.9.2016)</w:t>
      </w:r>
      <w:r w:rsidRPr="007F5756">
        <w:rPr>
          <w:rFonts w:ascii="Arial TUR" w:hAnsi="Arial TUR" w:cs="FrankRuehl" w:hint="cs"/>
          <w:spacing w:val="10"/>
          <w:sz w:val="22"/>
          <w:szCs w:val="28"/>
          <w:rtl/>
        </w:rPr>
        <w:t xml:space="preserve">). אחת מן הפרשות בעניין זה, פרשת </w:t>
      </w:r>
      <w:proofErr w:type="spellStart"/>
      <w:r w:rsidRPr="007F5756">
        <w:rPr>
          <w:rFonts w:ascii="Arial TUR" w:hAnsi="Arial TUR" w:cs="FrankRuehl" w:hint="cs"/>
          <w:spacing w:val="10"/>
          <w:sz w:val="22"/>
          <w:szCs w:val="28"/>
          <w:rtl/>
        </w:rPr>
        <w:t>טלנסקי</w:t>
      </w:r>
      <w:proofErr w:type="spellEnd"/>
      <w:r w:rsidRPr="007F5756">
        <w:rPr>
          <w:rFonts w:ascii="Arial TUR" w:hAnsi="Arial TUR" w:cs="FrankRuehl" w:hint="cs"/>
          <w:spacing w:val="10"/>
          <w:sz w:val="22"/>
          <w:szCs w:val="28"/>
          <w:rtl/>
        </w:rPr>
        <w:t xml:space="preserve">, עסקה בסכומי כסף שונים שהעביר </w:t>
      </w:r>
      <w:proofErr w:type="spellStart"/>
      <w:r w:rsidRPr="007F5756">
        <w:rPr>
          <w:rFonts w:ascii="Arial TUR" w:hAnsi="Arial TUR" w:cs="FrankRuehl" w:hint="cs"/>
          <w:spacing w:val="10"/>
          <w:sz w:val="22"/>
          <w:szCs w:val="28"/>
          <w:rtl/>
        </w:rPr>
        <w:t>טלנסקי</w:t>
      </w:r>
      <w:proofErr w:type="spellEnd"/>
      <w:r w:rsidRPr="007F5756">
        <w:rPr>
          <w:rFonts w:ascii="Arial TUR" w:hAnsi="Arial TUR" w:cs="FrankRuehl" w:hint="cs"/>
          <w:spacing w:val="10"/>
          <w:sz w:val="22"/>
          <w:szCs w:val="28"/>
          <w:rtl/>
        </w:rPr>
        <w:t xml:space="preserve"> לאולמרט בזיקה לתפקידו, בהזדמנויות שונות במשך שנים. הלכה למעשה, בית המשפט כימת את מכלול טובות ההנאה שנתן </w:t>
      </w:r>
      <w:proofErr w:type="spellStart"/>
      <w:r w:rsidRPr="007F5756">
        <w:rPr>
          <w:rFonts w:ascii="Arial TUR" w:hAnsi="Arial TUR" w:cs="FrankRuehl" w:hint="cs"/>
          <w:spacing w:val="10"/>
          <w:sz w:val="22"/>
          <w:szCs w:val="28"/>
          <w:rtl/>
        </w:rPr>
        <w:t>טלנסקי</w:t>
      </w:r>
      <w:proofErr w:type="spellEnd"/>
      <w:r w:rsidRPr="007F5756">
        <w:rPr>
          <w:rFonts w:ascii="Arial TUR" w:hAnsi="Arial TUR" w:cs="FrankRuehl" w:hint="cs"/>
          <w:spacing w:val="10"/>
          <w:sz w:val="22"/>
          <w:szCs w:val="28"/>
          <w:rtl/>
        </w:rPr>
        <w:t xml:space="preserve"> לאולמרט בחמש השנים שעניינן לא התיישן, ולא נדרש לבחון האם די בכל סכום כסף שהתקבל בנקודת זמן מסוימת,</w:t>
      </w:r>
      <w:r>
        <w:rPr>
          <w:rFonts w:ascii="Arial TUR" w:hAnsi="Arial TUR" w:cs="FrankRuehl" w:hint="cs"/>
          <w:spacing w:val="10"/>
          <w:sz w:val="22"/>
          <w:szCs w:val="28"/>
          <w:rtl/>
        </w:rPr>
        <w:t xml:space="preserve"> כשלעצמו, כדי לגבש עבירה פלילית</w:t>
      </w:r>
      <w:r w:rsidRPr="007F5756">
        <w:rPr>
          <w:rFonts w:ascii="Arial TUR" w:hAnsi="Arial TUR" w:cs="FrankRuehl" w:hint="cs"/>
          <w:spacing w:val="10"/>
          <w:sz w:val="22"/>
          <w:szCs w:val="28"/>
          <w:rtl/>
        </w:rPr>
        <w:t xml:space="preserve">.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r w:rsidRPr="007F5756">
        <w:rPr>
          <w:rFonts w:ascii="Arial TUR" w:hAnsi="Arial TUR" w:cs="FrankRuehl" w:hint="cs"/>
          <w:spacing w:val="10"/>
          <w:sz w:val="22"/>
          <w:szCs w:val="28"/>
          <w:rtl/>
        </w:rPr>
        <w:t xml:space="preserve">ביטוי מפורש לדרך הבחינה האמורה מצוי בעניין </w:t>
      </w:r>
      <w:r w:rsidRPr="007F5756">
        <w:rPr>
          <w:rFonts w:ascii="Century" w:hAnsi="Century" w:cs="Miriam" w:hint="cs"/>
          <w:b/>
          <w:sz w:val="22"/>
          <w:rtl/>
        </w:rPr>
        <w:t>אטיאס</w:t>
      </w:r>
      <w:r w:rsidRPr="007F5756">
        <w:rPr>
          <w:rFonts w:ascii="Arial TUR" w:hAnsi="Arial TUR" w:cs="FrankRuehl" w:hint="cs"/>
          <w:spacing w:val="10"/>
          <w:sz w:val="22"/>
          <w:szCs w:val="28"/>
          <w:rtl/>
        </w:rPr>
        <w:t xml:space="preserve"> (ע"פ 6916/06 </w:t>
      </w:r>
      <w:r w:rsidRPr="007F5756">
        <w:rPr>
          <w:rFonts w:ascii="Century" w:hAnsi="Century" w:cs="Miriam" w:hint="cs"/>
          <w:b/>
          <w:sz w:val="22"/>
          <w:rtl/>
        </w:rPr>
        <w:t>אטיאס נ' מדינת ישראל</w:t>
      </w:r>
      <w:r w:rsidRPr="007F5756">
        <w:rPr>
          <w:rFonts w:ascii="Arial TUR" w:hAnsi="Arial TUR" w:cs="FrankRuehl" w:hint="cs"/>
          <w:spacing w:val="10"/>
          <w:sz w:val="22"/>
          <w:szCs w:val="28"/>
          <w:rtl/>
        </w:rPr>
        <w:t xml:space="preserve"> (29.10.2007)). בגדר אחד </w:t>
      </w:r>
      <w:proofErr w:type="spellStart"/>
      <w:r w:rsidRPr="007F5756">
        <w:rPr>
          <w:rFonts w:ascii="Arial TUR" w:hAnsi="Arial TUR" w:cs="FrankRuehl" w:hint="cs"/>
          <w:spacing w:val="10"/>
          <w:sz w:val="22"/>
          <w:szCs w:val="28"/>
          <w:rtl/>
        </w:rPr>
        <w:t>האישומים</w:t>
      </w:r>
      <w:proofErr w:type="spellEnd"/>
      <w:r w:rsidRPr="007F5756">
        <w:rPr>
          <w:rFonts w:ascii="Arial TUR" w:hAnsi="Arial TUR" w:cs="FrankRuehl" w:hint="cs"/>
          <w:spacing w:val="10"/>
          <w:sz w:val="22"/>
          <w:szCs w:val="28"/>
          <w:rtl/>
        </w:rPr>
        <w:t xml:space="preserve"> באותו עניין הורשע אטיאס, מנהל במחלקת הפיקוח על הבנייה בעיריית ירושלים, בעבירה אחת של הפרת אמונים. הרשעה זו התבססה על מספר פעולות שביצע אטיאס בקשר להצעתו לפלוני, שעבר עבירת בנייה, לשכור את שירותיו המשפ</w:t>
      </w:r>
      <w:r>
        <w:rPr>
          <w:rFonts w:ascii="Arial TUR" w:hAnsi="Arial TUR" w:cs="FrankRuehl" w:hint="cs"/>
          <w:spacing w:val="10"/>
          <w:sz w:val="22"/>
          <w:szCs w:val="28"/>
          <w:rtl/>
        </w:rPr>
        <w:t>טיים של בנו. בית המשפט ציין כי ב</w:t>
      </w:r>
      <w:r w:rsidRPr="007F5756">
        <w:rPr>
          <w:rFonts w:ascii="Arial TUR" w:hAnsi="Arial TUR" w:cs="FrankRuehl" w:hint="cs"/>
          <w:spacing w:val="10"/>
          <w:sz w:val="22"/>
          <w:szCs w:val="28"/>
          <w:rtl/>
        </w:rPr>
        <w:t>עיסוקו האינטנסיבי של אטיאס בקיד</w:t>
      </w:r>
      <w:r>
        <w:rPr>
          <w:rFonts w:ascii="Arial TUR" w:hAnsi="Arial TUR" w:cs="FrankRuehl" w:hint="cs"/>
          <w:spacing w:val="10"/>
          <w:sz w:val="22"/>
          <w:szCs w:val="28"/>
          <w:rtl/>
        </w:rPr>
        <w:t>ום האינטרסים האישיים שלו בעניין, היה</w:t>
      </w:r>
      <w:r w:rsidRPr="007F5756">
        <w:rPr>
          <w:rFonts w:ascii="Arial TUR" w:hAnsi="Arial TUR" w:cs="FrankRuehl" w:hint="cs"/>
          <w:spacing w:val="10"/>
          <w:sz w:val="22"/>
          <w:szCs w:val="28"/>
          <w:rtl/>
        </w:rPr>
        <w:t xml:space="preserve"> </w:t>
      </w:r>
      <w:r>
        <w:rPr>
          <w:rFonts w:ascii="Arial TUR" w:hAnsi="Arial TUR" w:cs="FrankRuehl" w:hint="cs"/>
          <w:spacing w:val="10"/>
          <w:sz w:val="22"/>
          <w:szCs w:val="28"/>
          <w:rtl/>
        </w:rPr>
        <w:t xml:space="preserve">מעשה של </w:t>
      </w:r>
      <w:r w:rsidRPr="007F5756">
        <w:rPr>
          <w:rFonts w:ascii="Arial TUR" w:hAnsi="Arial TUR" w:cs="FrankRuehl" w:hint="cs"/>
          <w:spacing w:val="10"/>
          <w:sz w:val="22"/>
          <w:szCs w:val="28"/>
          <w:rtl/>
        </w:rPr>
        <w:t xml:space="preserve">הפרת אמונים, וכי: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ind w:left="1644" w:right="1276"/>
        <w:jc w:val="both"/>
        <w:rPr>
          <w:rFonts w:ascii="Arial TUR" w:hAnsi="Arial TUR" w:cs="FrankRuehl"/>
          <w:spacing w:val="10"/>
          <w:sz w:val="22"/>
          <w:szCs w:val="28"/>
          <w:rtl/>
        </w:rPr>
      </w:pPr>
      <w:r w:rsidRPr="007F5756">
        <w:rPr>
          <w:rFonts w:ascii="Arial TUR" w:hAnsi="Arial TUR" w:cs="FrankRuehl" w:hint="cs"/>
          <w:spacing w:val="10"/>
          <w:sz w:val="22"/>
          <w:szCs w:val="28"/>
          <w:rtl/>
        </w:rPr>
        <w:t>"</w:t>
      </w:r>
      <w:r w:rsidRPr="007F5756">
        <w:rPr>
          <w:rFonts w:ascii="Century" w:hAnsi="Century" w:cs="FrankRuehl" w:hint="cs"/>
          <w:spacing w:val="10"/>
          <w:sz w:val="22"/>
          <w:szCs w:val="28"/>
          <w:rtl/>
        </w:rPr>
        <w:t>לעניין זה, אין צורך שבית המשפט יבדוק כל פרט ופרט בנפרד כדי לשאול עצמו האם המערער מקיים את יסודות העבירה של הפרת אמונים ודי בלהשקיף על התנהגותו הכוללת של המערער</w:t>
      </w:r>
      <w:r w:rsidRPr="007F5756">
        <w:rPr>
          <w:rFonts w:ascii="Arial TUR" w:hAnsi="Arial TUR" w:cs="FrankRuehl" w:hint="cs"/>
          <w:spacing w:val="10"/>
          <w:sz w:val="22"/>
          <w:szCs w:val="28"/>
          <w:rtl/>
        </w:rPr>
        <w:t xml:space="preserve">." (שם, פסקה 47). </w:t>
      </w:r>
      <w:r w:rsidRPr="007F5756">
        <w:rPr>
          <w:rFonts w:ascii="Arial TUR" w:hAnsi="Arial TUR" w:cs="FrankRuehl"/>
          <w:spacing w:val="10"/>
          <w:sz w:val="22"/>
          <w:szCs w:val="28"/>
          <w:rtl/>
        </w:rPr>
        <w:tab/>
      </w:r>
      <w:r w:rsidRPr="007F5756">
        <w:rPr>
          <w:rFonts w:ascii="Arial TUR" w:hAnsi="Arial TUR" w:cs="FrankRuehl" w:hint="cs"/>
          <w:spacing w:val="10"/>
          <w:sz w:val="22"/>
          <w:szCs w:val="28"/>
          <w:rtl/>
        </w:rPr>
        <w:t xml:space="preserve"> </w:t>
      </w:r>
    </w:p>
    <w:p w:rsidR="00D865EA" w:rsidRPr="007F5756" w:rsidRDefault="00D865EA" w:rsidP="00D865EA">
      <w:pPr>
        <w:tabs>
          <w:tab w:val="left" w:pos="800"/>
        </w:tabs>
        <w:spacing w:line="360" w:lineRule="auto"/>
        <w:jc w:val="both"/>
        <w:rPr>
          <w:rFonts w:ascii="Century" w:hAnsi="Century" w:cs="FrankRuehl"/>
          <w:spacing w:val="10"/>
          <w:sz w:val="22"/>
          <w:szCs w:val="28"/>
          <w:rtl/>
        </w:rPr>
      </w:pPr>
      <w:r w:rsidRPr="007F5756">
        <w:rPr>
          <w:rFonts w:ascii="Century" w:hAnsi="Century" w:cs="FrankRuehl"/>
          <w:spacing w:val="10"/>
          <w:sz w:val="22"/>
          <w:szCs w:val="28"/>
          <w:rtl/>
        </w:rPr>
        <w:tab/>
      </w: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Century" w:hAnsi="Century" w:cs="FrankRuehl"/>
          <w:spacing w:val="10"/>
          <w:sz w:val="22"/>
          <w:szCs w:val="28"/>
          <w:rtl/>
        </w:rPr>
        <w:tab/>
      </w:r>
      <w:r w:rsidRPr="007F5756">
        <w:rPr>
          <w:rFonts w:ascii="Arial TUR" w:hAnsi="Arial TUR" w:cs="FrankRuehl" w:hint="cs"/>
          <w:spacing w:val="10"/>
          <w:sz w:val="22"/>
          <w:szCs w:val="28"/>
          <w:rtl/>
        </w:rPr>
        <w:t xml:space="preserve">לבסוף, בפסק הדין בעניין </w:t>
      </w:r>
      <w:r w:rsidRPr="007F5756">
        <w:rPr>
          <w:rFonts w:ascii="Century" w:hAnsi="Century" w:cs="Miriam" w:hint="cs"/>
          <w:b/>
          <w:sz w:val="22"/>
          <w:rtl/>
        </w:rPr>
        <w:t>מור</w:t>
      </w:r>
      <w:r w:rsidRPr="007F5756">
        <w:rPr>
          <w:rFonts w:ascii="Arial TUR" w:hAnsi="Arial TUR" w:cs="FrankRuehl" w:hint="cs"/>
          <w:spacing w:val="10"/>
          <w:sz w:val="22"/>
          <w:szCs w:val="28"/>
          <w:rtl/>
        </w:rPr>
        <w:t xml:space="preserve">, נידון ערעור על עונשו של קצין משטרה שהורשע, לפי הודאתו במסגרת הסדר טיעון, בעבירה של הטרדה מינית בפרשה אחת, </w:t>
      </w:r>
      <w:r w:rsidRPr="007F5756">
        <w:rPr>
          <w:rFonts w:ascii="Arial TUR" w:hAnsi="Arial TUR" w:cs="FrankRuehl" w:hint="cs"/>
          <w:spacing w:val="10"/>
          <w:sz w:val="22"/>
          <w:szCs w:val="28"/>
          <w:rtl/>
        </w:rPr>
        <w:lastRenderedPageBreak/>
        <w:t>וכן בעבירה של הפרת אמונים "בשל התנהלותו [...] במכלול הדברים" (</w:t>
      </w:r>
      <w:proofErr w:type="spellStart"/>
      <w:r w:rsidRPr="007F5756">
        <w:rPr>
          <w:rFonts w:ascii="Arial TUR" w:hAnsi="Arial TUR" w:cs="FrankRuehl" w:hint="eastAsia"/>
          <w:spacing w:val="10"/>
          <w:sz w:val="22"/>
          <w:szCs w:val="28"/>
          <w:rtl/>
        </w:rPr>
        <w:t>רע</w:t>
      </w:r>
      <w:r w:rsidRPr="007F5756">
        <w:rPr>
          <w:rFonts w:ascii="Arial TUR" w:hAnsi="Arial TUR" w:cs="FrankRuehl"/>
          <w:spacing w:val="10"/>
          <w:sz w:val="22"/>
          <w:szCs w:val="28"/>
          <w:rtl/>
        </w:rPr>
        <w:t>"</w:t>
      </w:r>
      <w:r w:rsidRPr="007F5756">
        <w:rPr>
          <w:rFonts w:ascii="Arial TUR" w:hAnsi="Arial TUR" w:cs="FrankRuehl" w:hint="eastAsia"/>
          <w:spacing w:val="10"/>
          <w:sz w:val="22"/>
          <w:szCs w:val="28"/>
          <w:rtl/>
        </w:rPr>
        <w:t>פ</w:t>
      </w:r>
      <w:proofErr w:type="spellEnd"/>
      <w:r w:rsidRPr="007F5756">
        <w:rPr>
          <w:rFonts w:ascii="Arial TUR" w:hAnsi="Arial TUR" w:cs="FrankRuehl"/>
          <w:spacing w:val="10"/>
          <w:sz w:val="22"/>
          <w:szCs w:val="28"/>
          <w:rtl/>
        </w:rPr>
        <w:t xml:space="preserve"> 10002/17</w:t>
      </w:r>
      <w:r w:rsidRPr="007F5756">
        <w:rPr>
          <w:rFonts w:ascii="Arial TUR" w:hAnsi="Arial TUR" w:cs="FrankRuehl" w:hint="cs"/>
          <w:spacing w:val="10"/>
          <w:sz w:val="22"/>
          <w:szCs w:val="28"/>
          <w:rtl/>
        </w:rPr>
        <w:t xml:space="preserve"> </w:t>
      </w:r>
      <w:r w:rsidRPr="007F5756">
        <w:rPr>
          <w:rFonts w:ascii="Century" w:hAnsi="Century" w:cs="Miriam" w:hint="eastAsia"/>
          <w:b/>
          <w:sz w:val="22"/>
          <w:rtl/>
        </w:rPr>
        <w:t>מדינת</w:t>
      </w:r>
      <w:r w:rsidRPr="007F5756">
        <w:rPr>
          <w:rFonts w:ascii="Century" w:hAnsi="Century" w:cs="Miriam"/>
          <w:b/>
          <w:sz w:val="22"/>
          <w:rtl/>
        </w:rPr>
        <w:t xml:space="preserve"> </w:t>
      </w:r>
      <w:r w:rsidRPr="007F5756">
        <w:rPr>
          <w:rFonts w:ascii="Century" w:hAnsi="Century" w:cs="Miriam" w:hint="eastAsia"/>
          <w:b/>
          <w:sz w:val="22"/>
          <w:rtl/>
        </w:rPr>
        <w:t>ישראל</w:t>
      </w:r>
      <w:r w:rsidRPr="007F5756">
        <w:rPr>
          <w:rFonts w:ascii="Century" w:hAnsi="Century" w:cs="Miriam"/>
          <w:b/>
          <w:sz w:val="22"/>
          <w:rtl/>
        </w:rPr>
        <w:t xml:space="preserve"> </w:t>
      </w:r>
      <w:r w:rsidRPr="007F5756">
        <w:rPr>
          <w:rFonts w:ascii="Century" w:hAnsi="Century" w:cs="Miriam" w:hint="eastAsia"/>
          <w:b/>
          <w:sz w:val="22"/>
          <w:rtl/>
        </w:rPr>
        <w:t>נ</w:t>
      </w:r>
      <w:r w:rsidRPr="007F5756">
        <w:rPr>
          <w:rFonts w:ascii="Century" w:hAnsi="Century" w:cs="Miriam"/>
          <w:b/>
          <w:sz w:val="22"/>
          <w:rtl/>
        </w:rPr>
        <w:t xml:space="preserve">' </w:t>
      </w:r>
      <w:r w:rsidRPr="007F5756">
        <w:rPr>
          <w:rFonts w:ascii="Century" w:hAnsi="Century" w:cs="Miriam" w:hint="eastAsia"/>
          <w:b/>
          <w:sz w:val="22"/>
          <w:rtl/>
        </w:rPr>
        <w:t>מור</w:t>
      </w:r>
      <w:r w:rsidRPr="007F5756">
        <w:rPr>
          <w:rFonts w:ascii="Arial TUR" w:hAnsi="Arial TUR" w:cs="FrankRuehl" w:hint="cs"/>
          <w:spacing w:val="10"/>
          <w:sz w:val="22"/>
          <w:szCs w:val="28"/>
          <w:rtl/>
        </w:rPr>
        <w:t xml:space="preserve">, פסקה 5 </w:t>
      </w:r>
      <w:r w:rsidRPr="007F5756">
        <w:rPr>
          <w:rFonts w:ascii="Arial TUR" w:hAnsi="Arial TUR" w:cs="FrankRuehl"/>
          <w:spacing w:val="10"/>
          <w:sz w:val="22"/>
          <w:szCs w:val="28"/>
          <w:rtl/>
        </w:rPr>
        <w:t>(18.7.2018</w:t>
      </w:r>
      <w:r w:rsidRPr="007F5756">
        <w:rPr>
          <w:rFonts w:ascii="Arial TUR" w:hAnsi="Arial TUR" w:cs="FrankRuehl" w:hint="cs"/>
          <w:spacing w:val="10"/>
          <w:sz w:val="22"/>
          <w:szCs w:val="28"/>
          <w:rtl/>
        </w:rPr>
        <w:t xml:space="preserve">)). הנסיבות באותו עניין דומות לענייננו. מור, שכיהן כסמפכ"ל המשטרה בדרגת ניצב, ניסה במספר הזדמנויות לקיים קשרים מיניים עם שוטרות הכפופות לו, באופן שמנע מהן לסרב לו באופן נחרץ. במעשיו קלע את עצמו לניגוד עניינים, כאשר בחלק מהמקרים פעל בעניינן של השוטרות בשעה שבקשותיהן נדונו אצל גורמים הכפופים לו. בהתייחס למסכת עובדתית זו, ציין בית משפט זה כי: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ind w:left="1644" w:right="1276"/>
        <w:jc w:val="both"/>
        <w:rPr>
          <w:rFonts w:ascii="Arial TUR" w:hAnsi="Arial TUR" w:cs="FrankRuehl"/>
          <w:spacing w:val="10"/>
          <w:sz w:val="22"/>
          <w:szCs w:val="28"/>
          <w:rtl/>
        </w:rPr>
      </w:pPr>
      <w:r w:rsidRPr="007F5756">
        <w:rPr>
          <w:rFonts w:ascii="Arial TUR" w:hAnsi="Arial TUR" w:cs="FrankRuehl" w:hint="cs"/>
          <w:spacing w:val="10"/>
          <w:sz w:val="22"/>
          <w:szCs w:val="28"/>
          <w:rtl/>
        </w:rPr>
        <w:t xml:space="preserve">"מעשיו, בין כשלעצמם ובין </w:t>
      </w:r>
      <w:r w:rsidRPr="007F5756">
        <w:rPr>
          <w:rFonts w:ascii="Century" w:hAnsi="Century" w:cs="Miriam" w:hint="cs"/>
          <w:b/>
          <w:sz w:val="22"/>
          <w:rtl/>
        </w:rPr>
        <w:t>בהצטברותם</w:t>
      </w:r>
      <w:r w:rsidRPr="007F5756">
        <w:rPr>
          <w:rFonts w:ascii="Arial TUR" w:hAnsi="Arial TUR" w:cs="FrankRuehl" w:hint="cs"/>
          <w:spacing w:val="10"/>
          <w:sz w:val="22"/>
          <w:szCs w:val="28"/>
          <w:rtl/>
        </w:rPr>
        <w:t xml:space="preserve">, מהווים הפרת אמונים הפוגעת בציבור." (ההדגשה נוספה. שם, פסקה 22).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Century" w:hAnsi="Century" w:cs="FrankRuehl"/>
          <w:spacing w:val="10"/>
          <w:sz w:val="22"/>
          <w:szCs w:val="28"/>
          <w:rtl/>
        </w:rPr>
      </w:pPr>
      <w:r w:rsidRPr="007F5756">
        <w:rPr>
          <w:rFonts w:ascii="Arial TUR" w:hAnsi="Arial TUR" w:cs="FrankRuehl" w:hint="cs"/>
          <w:spacing w:val="10"/>
          <w:sz w:val="22"/>
          <w:szCs w:val="28"/>
          <w:rtl/>
        </w:rPr>
        <w:t>7.</w:t>
      </w:r>
      <w:r w:rsidRPr="007F5756">
        <w:rPr>
          <w:rFonts w:ascii="Arial TUR" w:hAnsi="Arial TUR" w:cs="FrankRuehl"/>
          <w:spacing w:val="10"/>
          <w:sz w:val="22"/>
          <w:szCs w:val="28"/>
          <w:rtl/>
        </w:rPr>
        <w:tab/>
      </w:r>
      <w:r w:rsidRPr="007F5756">
        <w:rPr>
          <w:rFonts w:ascii="Arial TUR" w:hAnsi="Arial TUR" w:cs="FrankRuehl" w:hint="cs"/>
          <w:spacing w:val="10"/>
          <w:sz w:val="22"/>
          <w:szCs w:val="28"/>
          <w:rtl/>
        </w:rPr>
        <w:t>לשם שלמות התמונה יוער כי קיימת גם פסיקה של בתי המשפט המחוזיים שבמסגרתה נשענה הרשעתו של עובד הציבור על הצטברות מעשיו. כך היה</w:t>
      </w:r>
      <w:r w:rsidRPr="007F5756">
        <w:rPr>
          <w:rFonts w:ascii="Century" w:hAnsi="Century" w:cs="FrankRuehl" w:hint="cs"/>
          <w:spacing w:val="10"/>
          <w:sz w:val="22"/>
          <w:szCs w:val="28"/>
          <w:rtl/>
        </w:rPr>
        <w:t xml:space="preserve"> בע"פ (מחוזי ת"א) 70839/08 </w:t>
      </w:r>
      <w:r w:rsidRPr="007F5756">
        <w:rPr>
          <w:rFonts w:ascii="Miriam" w:hAnsi="Miriam" w:cs="Miriam"/>
          <w:b/>
          <w:spacing w:val="10"/>
          <w:rtl/>
        </w:rPr>
        <w:t>אלון נ' מדינת ישראל</w:t>
      </w:r>
      <w:r w:rsidRPr="007F5756">
        <w:rPr>
          <w:rFonts w:ascii="Century" w:hAnsi="Century" w:cs="FrankRuehl" w:hint="cs"/>
          <w:spacing w:val="10"/>
          <w:sz w:val="22"/>
          <w:szCs w:val="28"/>
          <w:rtl/>
        </w:rPr>
        <w:t xml:space="preserve"> (26.4.2009) (כב' השופטים </w:t>
      </w:r>
      <w:r w:rsidRPr="007F5756">
        <w:rPr>
          <w:rFonts w:ascii="Century" w:hAnsi="Century" w:cs="Miriam" w:hint="cs"/>
          <w:b/>
          <w:sz w:val="22"/>
          <w:rtl/>
        </w:rPr>
        <w:t xml:space="preserve">ד' </w:t>
      </w:r>
      <w:proofErr w:type="spellStart"/>
      <w:r w:rsidRPr="007F5756">
        <w:rPr>
          <w:rFonts w:ascii="Century" w:hAnsi="Century" w:cs="Miriam" w:hint="cs"/>
          <w:b/>
          <w:sz w:val="22"/>
          <w:rtl/>
        </w:rPr>
        <w:t>ברלינר</w:t>
      </w:r>
      <w:proofErr w:type="spellEnd"/>
      <w:r w:rsidRPr="007F5756">
        <w:rPr>
          <w:rFonts w:ascii="Century" w:hAnsi="Century" w:cs="FrankRuehl" w:hint="cs"/>
          <w:spacing w:val="10"/>
          <w:sz w:val="22"/>
          <w:szCs w:val="28"/>
          <w:rtl/>
        </w:rPr>
        <w:t xml:space="preserve"> (</w:t>
      </w:r>
      <w:proofErr w:type="spellStart"/>
      <w:r w:rsidRPr="007F5756">
        <w:rPr>
          <w:rFonts w:ascii="Century" w:hAnsi="Century" w:cs="FrankRuehl" w:hint="cs"/>
          <w:spacing w:val="10"/>
          <w:sz w:val="22"/>
          <w:szCs w:val="28"/>
          <w:rtl/>
        </w:rPr>
        <w:t>סג"נ</w:t>
      </w:r>
      <w:proofErr w:type="spellEnd"/>
      <w:r w:rsidRPr="007F5756">
        <w:rPr>
          <w:rFonts w:ascii="Century" w:hAnsi="Century" w:cs="FrankRuehl" w:hint="cs"/>
          <w:spacing w:val="10"/>
          <w:sz w:val="22"/>
          <w:szCs w:val="28"/>
          <w:rtl/>
        </w:rPr>
        <w:t xml:space="preserve"> </w:t>
      </w:r>
      <w:r w:rsidRPr="007F5756">
        <w:rPr>
          <w:rFonts w:ascii="Century" w:hAnsi="Century" w:cs="FrankRuehl"/>
          <w:spacing w:val="10"/>
          <w:sz w:val="22"/>
          <w:szCs w:val="28"/>
          <w:rtl/>
        </w:rPr>
        <w:t>–</w:t>
      </w:r>
      <w:r w:rsidRPr="007F5756">
        <w:rPr>
          <w:rFonts w:ascii="Century" w:hAnsi="Century" w:cs="FrankRuehl" w:hint="cs"/>
          <w:spacing w:val="10"/>
          <w:sz w:val="22"/>
          <w:szCs w:val="28"/>
          <w:rtl/>
        </w:rPr>
        <w:t xml:space="preserve"> אב"ד), </w:t>
      </w:r>
      <w:r w:rsidRPr="007F5756">
        <w:rPr>
          <w:rFonts w:ascii="Century" w:hAnsi="Century" w:cs="Miriam" w:hint="cs"/>
          <w:b/>
          <w:sz w:val="22"/>
          <w:rtl/>
        </w:rPr>
        <w:t>ע' פוגלמן</w:t>
      </w:r>
      <w:r w:rsidRPr="007F5756">
        <w:rPr>
          <w:rFonts w:ascii="Century" w:hAnsi="Century" w:cs="FrankRuehl" w:hint="cs"/>
          <w:spacing w:val="10"/>
          <w:sz w:val="22"/>
          <w:szCs w:val="28"/>
          <w:rtl/>
        </w:rPr>
        <w:t xml:space="preserve"> ו-</w:t>
      </w:r>
      <w:r w:rsidRPr="007F5756">
        <w:rPr>
          <w:rFonts w:ascii="Century" w:hAnsi="Century" w:cs="Miriam" w:hint="cs"/>
          <w:b/>
          <w:sz w:val="22"/>
          <w:rtl/>
        </w:rPr>
        <w:t>ת' שפירא</w:t>
      </w:r>
      <w:r w:rsidRPr="007F5756">
        <w:rPr>
          <w:rFonts w:ascii="Century" w:hAnsi="Century" w:cs="FrankRuehl" w:hint="cs"/>
          <w:spacing w:val="10"/>
          <w:sz w:val="22"/>
          <w:szCs w:val="28"/>
          <w:rtl/>
        </w:rPr>
        <w:t xml:space="preserve">), עליו הוגשה רשות ערעור שנדחתה. פסק הדין עסק בהרשעת הגב' אלון בעבירה אחת של הפרת אמונים בגין כך שבמספר הזדמנויות שכרה את בן זוגה לבצע עבודות שיפוץ בבית הספר אותו ניהלה, בניגוד לכללים שחלו עליה מכוח תפקידה הציבורי. הערעור על ההרשעה בעבירה זו נדחה, תוך שנקבע כי: </w:t>
      </w:r>
    </w:p>
    <w:p w:rsidR="00D865EA" w:rsidRPr="007F5756" w:rsidRDefault="00D865EA" w:rsidP="00D865EA">
      <w:pPr>
        <w:ind w:left="1644" w:right="1276"/>
        <w:jc w:val="both"/>
        <w:rPr>
          <w:rFonts w:ascii="Arial TUR" w:hAnsi="Arial TUR" w:cs="FrankRuehl"/>
          <w:spacing w:val="10"/>
          <w:sz w:val="22"/>
          <w:szCs w:val="28"/>
          <w:rtl/>
        </w:rPr>
      </w:pPr>
    </w:p>
    <w:p w:rsidR="00D865EA" w:rsidRPr="007F5756" w:rsidRDefault="00D865EA" w:rsidP="00D865EA">
      <w:pPr>
        <w:ind w:left="1644" w:right="1276"/>
        <w:jc w:val="both"/>
        <w:rPr>
          <w:rFonts w:ascii="Arial TUR" w:hAnsi="Arial TUR" w:cs="FrankRuehl"/>
          <w:spacing w:val="10"/>
          <w:sz w:val="22"/>
          <w:szCs w:val="28"/>
          <w:rtl/>
        </w:rPr>
      </w:pPr>
      <w:r w:rsidRPr="007F5756">
        <w:rPr>
          <w:rFonts w:ascii="Arial TUR" w:hAnsi="Arial TUR" w:cs="FrankRuehl" w:hint="cs"/>
          <w:spacing w:val="10"/>
          <w:sz w:val="22"/>
          <w:szCs w:val="28"/>
          <w:rtl/>
        </w:rPr>
        <w:t>"</w:t>
      </w:r>
      <w:r w:rsidRPr="007F5756">
        <w:rPr>
          <w:rFonts w:ascii="Miriam" w:hAnsi="Miriam" w:cs="Miriam"/>
          <w:spacing w:val="10"/>
          <w:rtl/>
        </w:rPr>
        <w:t>החזרה על המעשים</w:t>
      </w:r>
      <w:r w:rsidRPr="007F5756">
        <w:rPr>
          <w:rFonts w:ascii="Arial TUR" w:hAnsi="Arial TUR" w:cs="FrankRuehl" w:hint="cs"/>
          <w:spacing w:val="10"/>
          <w:rtl/>
        </w:rPr>
        <w:t xml:space="preserve"> </w:t>
      </w:r>
      <w:r w:rsidRPr="007F5756">
        <w:rPr>
          <w:rFonts w:ascii="Arial TUR" w:hAnsi="Arial TUR" w:cs="FrankRuehl" w:hint="cs"/>
          <w:spacing w:val="10"/>
          <w:sz w:val="22"/>
          <w:szCs w:val="28"/>
          <w:rtl/>
        </w:rPr>
        <w:t xml:space="preserve">והעלמת הנושא מעיני הממונים – הם גורמים בעלי </w:t>
      </w:r>
      <w:r w:rsidRPr="007F5756">
        <w:rPr>
          <w:rFonts w:ascii="Miriam" w:hAnsi="Miriam" w:cs="Miriam"/>
          <w:spacing w:val="10"/>
          <w:rtl/>
        </w:rPr>
        <w:t>היקף מצטבר משמעותי</w:t>
      </w:r>
      <w:r w:rsidRPr="007F5756">
        <w:rPr>
          <w:rFonts w:ascii="Arial TUR" w:hAnsi="Arial TUR" w:cs="FrankRuehl" w:hint="cs"/>
          <w:spacing w:val="10"/>
          <w:rtl/>
        </w:rPr>
        <w:t xml:space="preserve"> </w:t>
      </w:r>
      <w:r w:rsidRPr="007F5756">
        <w:rPr>
          <w:rFonts w:ascii="Arial TUR" w:hAnsi="Arial TUR" w:cs="FrankRuehl" w:hint="cs"/>
          <w:spacing w:val="10"/>
          <w:sz w:val="22"/>
          <w:szCs w:val="28"/>
          <w:rtl/>
        </w:rPr>
        <w:t>ועונים על הדרישה לפן מחמיר נוסף." (ההדגשה נוספה. שם, פסקה י"א).</w:t>
      </w:r>
    </w:p>
    <w:p w:rsidR="00D865EA" w:rsidRPr="007F5756" w:rsidRDefault="00D865EA" w:rsidP="00D865EA">
      <w:pPr>
        <w:tabs>
          <w:tab w:val="left" w:pos="800"/>
        </w:tabs>
        <w:spacing w:line="360" w:lineRule="auto"/>
        <w:jc w:val="both"/>
        <w:rPr>
          <w:rFonts w:ascii="Century" w:hAnsi="Century" w:cs="FrankRuehl"/>
          <w:spacing w:val="10"/>
          <w:sz w:val="22"/>
          <w:szCs w:val="28"/>
          <w:rtl/>
        </w:rPr>
      </w:pPr>
    </w:p>
    <w:p w:rsidR="00D865EA" w:rsidRPr="007F5756" w:rsidRDefault="00D865EA" w:rsidP="00D865EA">
      <w:pPr>
        <w:tabs>
          <w:tab w:val="left" w:pos="800"/>
        </w:tabs>
        <w:spacing w:line="360" w:lineRule="auto"/>
        <w:jc w:val="both"/>
        <w:rPr>
          <w:rFonts w:ascii="Century" w:hAnsi="Century" w:cs="FrankRuehl"/>
          <w:spacing w:val="10"/>
          <w:sz w:val="22"/>
          <w:szCs w:val="28"/>
          <w:rtl/>
        </w:rPr>
      </w:pPr>
      <w:r w:rsidRPr="007F5756">
        <w:rPr>
          <w:rFonts w:ascii="Century" w:hAnsi="Century" w:cs="FrankRuehl"/>
          <w:spacing w:val="10"/>
          <w:sz w:val="22"/>
          <w:szCs w:val="28"/>
          <w:rtl/>
        </w:rPr>
        <w:tab/>
      </w:r>
      <w:r w:rsidRPr="007F5756">
        <w:rPr>
          <w:rFonts w:ascii="Arial TUR" w:hAnsi="Arial TUR" w:cs="FrankRuehl" w:hint="cs"/>
          <w:spacing w:val="10"/>
          <w:sz w:val="22"/>
          <w:szCs w:val="28"/>
          <w:rtl/>
        </w:rPr>
        <w:t>בדומה, ב</w:t>
      </w:r>
      <w:r w:rsidRPr="007F5756">
        <w:rPr>
          <w:rFonts w:ascii="Arial TUR" w:hAnsi="Arial TUR" w:cs="FrankRuehl"/>
          <w:spacing w:val="10"/>
          <w:sz w:val="22"/>
          <w:szCs w:val="28"/>
          <w:rtl/>
        </w:rPr>
        <w:t>ע"פ</w:t>
      </w:r>
      <w:r w:rsidRPr="007F5756">
        <w:rPr>
          <w:rFonts w:ascii="Arial TUR" w:hAnsi="Arial TUR" w:cs="FrankRuehl" w:hint="cs"/>
          <w:spacing w:val="10"/>
          <w:sz w:val="22"/>
          <w:szCs w:val="28"/>
          <w:rtl/>
        </w:rPr>
        <w:t xml:space="preserve"> (מחוזי ת"א)</w:t>
      </w:r>
      <w:r w:rsidRPr="007F5756">
        <w:rPr>
          <w:rFonts w:ascii="Arial TUR" w:hAnsi="Arial TUR" w:cs="FrankRuehl"/>
          <w:spacing w:val="10"/>
          <w:sz w:val="22"/>
          <w:szCs w:val="28"/>
          <w:rtl/>
        </w:rPr>
        <w:t xml:space="preserve"> 7136</w:t>
      </w:r>
      <w:r w:rsidRPr="007F5756">
        <w:rPr>
          <w:rFonts w:ascii="Arial TUR" w:hAnsi="Arial TUR" w:cs="FrankRuehl" w:hint="cs"/>
          <w:spacing w:val="10"/>
          <w:sz w:val="22"/>
          <w:szCs w:val="28"/>
          <w:rtl/>
        </w:rPr>
        <w:t>3</w:t>
      </w:r>
      <w:r w:rsidRPr="007F5756">
        <w:rPr>
          <w:rFonts w:ascii="Arial TUR" w:hAnsi="Arial TUR" w:cs="FrankRuehl"/>
          <w:spacing w:val="10"/>
          <w:sz w:val="22"/>
          <w:szCs w:val="28"/>
          <w:rtl/>
        </w:rPr>
        <w:t>/05</w:t>
      </w:r>
      <w:r w:rsidRPr="007F5756">
        <w:rPr>
          <w:rFonts w:ascii="Arial TUR" w:hAnsi="Arial TUR" w:cs="FrankRuehl" w:hint="cs"/>
          <w:spacing w:val="10"/>
          <w:sz w:val="22"/>
          <w:szCs w:val="28"/>
          <w:rtl/>
        </w:rPr>
        <w:t xml:space="preserve"> </w:t>
      </w:r>
      <w:r w:rsidRPr="007F5756">
        <w:rPr>
          <w:rFonts w:ascii="Century" w:hAnsi="Century" w:cs="Miriam"/>
          <w:b/>
          <w:sz w:val="22"/>
          <w:rtl/>
        </w:rPr>
        <w:t>סילברמן נ' מדינת ישראל</w:t>
      </w:r>
      <w:r w:rsidRPr="007F5756">
        <w:rPr>
          <w:rFonts w:ascii="Arial TUR" w:hAnsi="Arial TUR" w:cs="FrankRuehl"/>
          <w:spacing w:val="10"/>
          <w:sz w:val="22"/>
          <w:szCs w:val="28"/>
          <w:rtl/>
        </w:rPr>
        <w:t xml:space="preserve"> (27.3.2007)</w:t>
      </w:r>
      <w:r w:rsidRPr="007F5756">
        <w:rPr>
          <w:rFonts w:ascii="Arial TUR" w:hAnsi="Arial TUR" w:cs="FrankRuehl" w:hint="cs"/>
          <w:spacing w:val="10"/>
          <w:sz w:val="22"/>
          <w:szCs w:val="28"/>
          <w:rtl/>
        </w:rPr>
        <w:t xml:space="preserve"> (כב' השופטים </w:t>
      </w:r>
      <w:r w:rsidRPr="007F5756">
        <w:rPr>
          <w:rFonts w:ascii="Century" w:hAnsi="Century" w:cs="Miriam" w:hint="cs"/>
          <w:b/>
          <w:sz w:val="22"/>
          <w:rtl/>
        </w:rPr>
        <w:t>ז' המר</w:t>
      </w:r>
      <w:r w:rsidRPr="007F5756">
        <w:rPr>
          <w:rFonts w:ascii="Arial TUR" w:hAnsi="Arial TUR" w:cs="FrankRuehl" w:hint="cs"/>
          <w:spacing w:val="10"/>
          <w:sz w:val="22"/>
          <w:szCs w:val="28"/>
          <w:rtl/>
        </w:rPr>
        <w:t xml:space="preserve"> (אב"ד), </w:t>
      </w:r>
      <w:r w:rsidRPr="007F5756">
        <w:rPr>
          <w:rFonts w:ascii="Century" w:hAnsi="Century" w:cs="Miriam" w:hint="cs"/>
          <w:b/>
          <w:sz w:val="22"/>
          <w:rtl/>
        </w:rPr>
        <w:t>ב' אופיר-תום</w:t>
      </w:r>
      <w:r w:rsidRPr="007F5756">
        <w:rPr>
          <w:rFonts w:ascii="Arial TUR" w:hAnsi="Arial TUR" w:cs="FrankRuehl" w:hint="cs"/>
          <w:spacing w:val="10"/>
          <w:sz w:val="22"/>
          <w:szCs w:val="28"/>
          <w:rtl/>
        </w:rPr>
        <w:t xml:space="preserve"> (</w:t>
      </w:r>
      <w:proofErr w:type="spellStart"/>
      <w:r w:rsidRPr="007F5756">
        <w:rPr>
          <w:rFonts w:ascii="Arial TUR" w:hAnsi="Arial TUR" w:cs="FrankRuehl" w:hint="cs"/>
          <w:spacing w:val="10"/>
          <w:sz w:val="22"/>
          <w:szCs w:val="28"/>
          <w:rtl/>
        </w:rPr>
        <w:t>סג"נ</w:t>
      </w:r>
      <w:proofErr w:type="spellEnd"/>
      <w:r w:rsidRPr="007F5756">
        <w:rPr>
          <w:rFonts w:ascii="Arial TUR" w:hAnsi="Arial TUR" w:cs="FrankRuehl" w:hint="cs"/>
          <w:spacing w:val="10"/>
          <w:sz w:val="22"/>
          <w:szCs w:val="28"/>
          <w:rtl/>
        </w:rPr>
        <w:t>) ו-</w:t>
      </w:r>
      <w:r w:rsidRPr="007F5756">
        <w:rPr>
          <w:rFonts w:ascii="Century" w:hAnsi="Century" w:cs="Miriam" w:hint="cs"/>
          <w:b/>
          <w:sz w:val="22"/>
          <w:rtl/>
        </w:rPr>
        <w:t>י' שיצר</w:t>
      </w:r>
      <w:r w:rsidRPr="007F5756">
        <w:rPr>
          <w:rFonts w:ascii="Arial TUR" w:hAnsi="Arial TUR" w:cs="FrankRuehl" w:hint="cs"/>
          <w:spacing w:val="10"/>
          <w:sz w:val="22"/>
          <w:szCs w:val="28"/>
          <w:rtl/>
        </w:rPr>
        <w:t>),</w:t>
      </w:r>
      <w:r w:rsidRPr="007F5756">
        <w:rPr>
          <w:rFonts w:ascii="Century" w:hAnsi="Century" w:cs="FrankRuehl" w:hint="cs"/>
          <w:spacing w:val="10"/>
          <w:sz w:val="22"/>
          <w:szCs w:val="28"/>
          <w:rtl/>
        </w:rPr>
        <w:t xml:space="preserve"> נידון עניינו של שוטר שביצע סדרת מעשים הנוגעים לקשר שקיים עם פלוני, בעת שהתנהלה כנגד האחרון חקירה, ובעת שהשוטר ניהל חקירה שהיה לפלוני עניין בה. השוטר טען כי כל מעשה שביצע, כשלעצמו, לא מהווה עבירה, ועל כן לא ניתן להרשיעו ב</w:t>
      </w:r>
      <w:r>
        <w:rPr>
          <w:rFonts w:ascii="Century" w:hAnsi="Century" w:cs="FrankRuehl" w:hint="cs"/>
          <w:spacing w:val="10"/>
          <w:sz w:val="22"/>
          <w:szCs w:val="28"/>
          <w:rtl/>
        </w:rPr>
        <w:t xml:space="preserve">עבירה של </w:t>
      </w:r>
      <w:r w:rsidRPr="007F5756">
        <w:rPr>
          <w:rFonts w:ascii="Century" w:hAnsi="Century" w:cs="FrankRuehl" w:hint="cs"/>
          <w:spacing w:val="10"/>
          <w:sz w:val="22"/>
          <w:szCs w:val="28"/>
          <w:rtl/>
        </w:rPr>
        <w:t xml:space="preserve">הפרת אמונים בגין מכלול המעשים. הטענה נדחתה, ובהמשך נקבע כי: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ind w:left="1644" w:right="1276"/>
        <w:jc w:val="both"/>
        <w:rPr>
          <w:rFonts w:ascii="Arial TUR" w:hAnsi="Arial TUR" w:cs="FrankRuehl"/>
          <w:spacing w:val="10"/>
          <w:sz w:val="22"/>
          <w:szCs w:val="28"/>
          <w:rtl/>
        </w:rPr>
      </w:pPr>
      <w:bookmarkStart w:id="7" w:name="_Hlk85788301"/>
      <w:r w:rsidRPr="007F5756">
        <w:rPr>
          <w:rFonts w:ascii="Arial TUR" w:hAnsi="Arial TUR" w:cs="FrankRuehl" w:hint="cs"/>
          <w:spacing w:val="10"/>
          <w:sz w:val="22"/>
          <w:szCs w:val="28"/>
          <w:rtl/>
        </w:rPr>
        <w:t>"[...]</w:t>
      </w:r>
      <w:r w:rsidRPr="007F5756">
        <w:rPr>
          <w:rFonts w:ascii="Miriam" w:hAnsi="Miriam" w:cs="Miriam"/>
          <w:spacing w:val="10"/>
          <w:rtl/>
        </w:rPr>
        <w:t>מעשיו של המערער, בהצטברם (וזו, כאמור, הדרך הנכונה בה יש לבחון אותם)</w:t>
      </w:r>
      <w:r w:rsidRPr="007F5756">
        <w:rPr>
          <w:rFonts w:ascii="Arial TUR" w:hAnsi="Arial TUR" w:cs="FrankRuehl" w:hint="cs"/>
          <w:spacing w:val="10"/>
          <w:rtl/>
        </w:rPr>
        <w:t xml:space="preserve"> </w:t>
      </w:r>
      <w:r w:rsidRPr="007F5756">
        <w:rPr>
          <w:rFonts w:ascii="Arial TUR" w:hAnsi="Arial TUR" w:cs="FrankRuehl" w:hint="cs"/>
          <w:spacing w:val="10"/>
          <w:sz w:val="22"/>
          <w:szCs w:val="28"/>
          <w:rtl/>
        </w:rPr>
        <w:t xml:space="preserve">אינם רק בבחינת 'טעות בשיקול דעת' או 'התנהגות פגומה מבחינה אתית' בלבד, אלא מהווים, להשקפתי, 'התנהגות פסולה בעלת היבט פלילי'". (ההדגשה נוספה. שם, פסקה 78). </w:t>
      </w:r>
    </w:p>
    <w:bookmarkEnd w:id="7"/>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hint="cs"/>
          <w:spacing w:val="10"/>
          <w:sz w:val="22"/>
          <w:szCs w:val="28"/>
          <w:rtl/>
        </w:rPr>
        <w:lastRenderedPageBreak/>
        <w:t>8.</w:t>
      </w:r>
      <w:r w:rsidRPr="007F5756">
        <w:rPr>
          <w:rFonts w:ascii="Arial TUR" w:hAnsi="Arial TUR" w:cs="FrankRuehl"/>
          <w:spacing w:val="10"/>
          <w:sz w:val="22"/>
          <w:szCs w:val="28"/>
          <w:rtl/>
        </w:rPr>
        <w:tab/>
      </w:r>
      <w:r w:rsidRPr="007F5756">
        <w:rPr>
          <w:rFonts w:ascii="Arial TUR" w:hAnsi="Arial TUR" w:cs="FrankRuehl" w:hint="cs"/>
          <w:spacing w:val="10"/>
          <w:sz w:val="22"/>
          <w:szCs w:val="28"/>
          <w:rtl/>
        </w:rPr>
        <w:t xml:space="preserve">מהאמור עד כה עולה כי הפסיקה נכונה להסתכל בנסיבות מסוימות על התנהגותו הכוללת של עובד ציבור כמגבשת עבירה אחת של הפרת אמונים, מבלי שתיבחן פליליותו של כל מעשה ומעשה במסגרת אותה התנהגות. כך נעשה בפועל, ואף נקבע במפורש כי אין צורך לבחון האם כל פרט בנפרד מקיים את יסודות העבירה. מעבר לכך, בעניין </w:t>
      </w:r>
      <w:r w:rsidRPr="007F5756">
        <w:rPr>
          <w:rFonts w:ascii="Miriam" w:hAnsi="Miriam" w:cs="Miriam"/>
          <w:spacing w:val="10"/>
          <w:rtl/>
        </w:rPr>
        <w:t>מור</w:t>
      </w:r>
      <w:r w:rsidRPr="007F5756">
        <w:rPr>
          <w:rFonts w:ascii="Arial TUR" w:hAnsi="Arial TUR" w:cs="FrankRuehl" w:hint="cs"/>
          <w:spacing w:val="10"/>
          <w:sz w:val="22"/>
          <w:szCs w:val="28"/>
          <w:rtl/>
        </w:rPr>
        <w:t xml:space="preserve"> הדומה בנסיבותיו לענייננו, הכיר בית משפט זה באפשרות כי הצטברות המעשים בגדר התנהגות מתמשכת מבססת מעשה של הפרת אמונים, כאשר בפועל הורשע הנאשם שם בעבירה אחת בשל מכלול מעשיו. כך גם נעשה בפסיקת בתי המשפט המחוזיים.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r w:rsidRPr="007F5756">
        <w:rPr>
          <w:rFonts w:ascii="Arial TUR" w:hAnsi="Arial TUR" w:cs="FrankRuehl" w:hint="cs"/>
          <w:spacing w:val="10"/>
          <w:sz w:val="22"/>
          <w:szCs w:val="28"/>
          <w:rtl/>
        </w:rPr>
        <w:t xml:space="preserve">עם זאת, בעניין </w:t>
      </w:r>
      <w:r w:rsidRPr="007F5756">
        <w:rPr>
          <w:rFonts w:ascii="Miriam" w:hAnsi="Miriam" w:cs="Miriam"/>
          <w:spacing w:val="10"/>
          <w:rtl/>
        </w:rPr>
        <w:t>מור</w:t>
      </w:r>
      <w:r w:rsidRPr="007F5756">
        <w:rPr>
          <w:rFonts w:ascii="Arial TUR" w:hAnsi="Arial TUR" w:cs="FrankRuehl" w:hint="cs"/>
          <w:spacing w:val="10"/>
          <w:sz w:val="22"/>
          <w:szCs w:val="28"/>
          <w:rtl/>
        </w:rPr>
        <w:t xml:space="preserve"> צוין כי </w:t>
      </w:r>
      <w:r>
        <w:rPr>
          <w:rFonts w:ascii="Arial TUR" w:hAnsi="Arial TUR" w:cs="FrankRuehl" w:hint="cs"/>
          <w:spacing w:val="10"/>
          <w:sz w:val="22"/>
          <w:szCs w:val="28"/>
          <w:rtl/>
        </w:rPr>
        <w:t>המעשים מהווים</w:t>
      </w:r>
      <w:r w:rsidRPr="007F5756">
        <w:rPr>
          <w:rFonts w:ascii="Arial TUR" w:hAnsi="Arial TUR" w:cs="FrankRuehl" w:hint="cs"/>
          <w:spacing w:val="10"/>
          <w:sz w:val="22"/>
          <w:szCs w:val="28"/>
          <w:rtl/>
        </w:rPr>
        <w:t xml:space="preserve"> הפרת אמונים</w:t>
      </w:r>
      <w:r>
        <w:rPr>
          <w:rFonts w:ascii="Arial TUR" w:hAnsi="Arial TUR" w:cs="FrankRuehl" w:hint="cs"/>
          <w:spacing w:val="10"/>
          <w:sz w:val="22"/>
          <w:szCs w:val="28"/>
          <w:rtl/>
        </w:rPr>
        <w:t xml:space="preserve"> גם כשלעצמם</w:t>
      </w:r>
      <w:r w:rsidRPr="007F5756">
        <w:rPr>
          <w:rFonts w:ascii="Arial TUR" w:hAnsi="Arial TUR" w:cs="FrankRuehl" w:hint="cs"/>
          <w:spacing w:val="10"/>
          <w:sz w:val="22"/>
          <w:szCs w:val="28"/>
          <w:rtl/>
        </w:rPr>
        <w:t>. ענייננו מעלה כזכור את השאלה האם ניתן כי המצבור יחצה את ה</w:t>
      </w:r>
      <w:r>
        <w:rPr>
          <w:rFonts w:ascii="Arial TUR" w:hAnsi="Arial TUR" w:cs="FrankRuehl" w:hint="cs"/>
          <w:spacing w:val="10"/>
          <w:sz w:val="22"/>
          <w:szCs w:val="28"/>
          <w:rtl/>
        </w:rPr>
        <w:t>רף הפלילי, מבלי שכל מעשה לבדו</w:t>
      </w:r>
      <w:r w:rsidRPr="007F5756">
        <w:rPr>
          <w:rFonts w:ascii="Arial TUR" w:hAnsi="Arial TUR" w:cs="FrankRuehl" w:hint="cs"/>
          <w:spacing w:val="10"/>
          <w:sz w:val="22"/>
          <w:szCs w:val="28"/>
          <w:rtl/>
        </w:rPr>
        <w:t xml:space="preserve"> יעשה כן. בהקשר זה, ניתן להפנות לפסיקה רלוונטית אחרת.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Miriam" w:hAnsi="Miriam" w:cs="Miriam"/>
          <w:spacing w:val="10"/>
          <w:rtl/>
        </w:rPr>
      </w:pPr>
      <w:r w:rsidRPr="007F5756">
        <w:rPr>
          <w:rFonts w:ascii="Miriam" w:hAnsi="Miriam" w:cs="Miriam"/>
          <w:spacing w:val="10"/>
          <w:rtl/>
        </w:rPr>
        <w:tab/>
        <w:t>עבירת ההתעללות</w:t>
      </w:r>
      <w:r w:rsidRPr="007F5756">
        <w:rPr>
          <w:rFonts w:ascii="Miriam" w:hAnsi="Miriam" w:cs="Miriam" w:hint="cs"/>
          <w:spacing w:val="10"/>
          <w:rtl/>
        </w:rPr>
        <w:t xml:space="preserve"> וההצדקה התכליתית לצבירה</w:t>
      </w:r>
      <w:r w:rsidRPr="007F5756">
        <w:rPr>
          <w:rFonts w:ascii="Miriam" w:hAnsi="Miriam" w:cs="Miriam"/>
          <w:spacing w:val="10"/>
          <w:rtl/>
        </w:rPr>
        <w:t xml:space="preserve">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hint="cs"/>
          <w:spacing w:val="10"/>
          <w:sz w:val="22"/>
          <w:szCs w:val="28"/>
          <w:rtl/>
        </w:rPr>
        <w:t>9.</w:t>
      </w:r>
      <w:r w:rsidRPr="007F5756">
        <w:rPr>
          <w:rFonts w:ascii="Arial TUR" w:hAnsi="Arial TUR" w:cs="FrankRuehl"/>
          <w:spacing w:val="10"/>
          <w:sz w:val="22"/>
          <w:szCs w:val="28"/>
          <w:rtl/>
        </w:rPr>
        <w:tab/>
      </w:r>
      <w:r w:rsidRPr="007F5756">
        <w:rPr>
          <w:rFonts w:ascii="Arial TUR" w:hAnsi="Arial TUR" w:cs="FrankRuehl" w:hint="cs"/>
          <w:spacing w:val="10"/>
          <w:sz w:val="22"/>
          <w:szCs w:val="28"/>
          <w:rtl/>
        </w:rPr>
        <w:t xml:space="preserve">עבירת ההתעללות בקטין או בחסר ישע, המעוגנת בסעיף 368ג לחוק העונשין, קובעת את דינו של אדם "העושה בקטין או בחסר ישע מעשה התעללות גופנית, נפשית ומינית". המחוקק שתק ולא הגדיר בחוק העונשין מהו מעשה התעללות, ואת החסר נדרשו להשלים בתי המשפט. במסגרת הסימנים שניתנו בפסיקה למעשה כזה, נקבע כי: </w:t>
      </w:r>
    </w:p>
    <w:p w:rsidR="00D865EA" w:rsidRPr="007F5756" w:rsidRDefault="00D865EA" w:rsidP="00D865EA">
      <w:pPr>
        <w:tabs>
          <w:tab w:val="left" w:pos="800"/>
        </w:tabs>
        <w:spacing w:line="360" w:lineRule="auto"/>
        <w:jc w:val="both"/>
        <w:rPr>
          <w:rFonts w:ascii="Arial TUR" w:hAnsi="Arial TUR" w:cs="FrankRuehl"/>
          <w:spacing w:val="10"/>
          <w:sz w:val="16"/>
          <w:szCs w:val="20"/>
          <w:rtl/>
        </w:rPr>
      </w:pPr>
    </w:p>
    <w:p w:rsidR="00D865EA" w:rsidRPr="007F5756" w:rsidRDefault="00D865EA" w:rsidP="00D865EA">
      <w:pPr>
        <w:ind w:left="1644" w:right="1276"/>
        <w:jc w:val="both"/>
        <w:rPr>
          <w:rFonts w:ascii="Arial TUR" w:hAnsi="Arial TUR" w:cs="FrankRuehl"/>
          <w:spacing w:val="10"/>
          <w:sz w:val="22"/>
          <w:szCs w:val="28"/>
          <w:rtl/>
        </w:rPr>
      </w:pPr>
      <w:r w:rsidRPr="007F5756">
        <w:rPr>
          <w:rFonts w:ascii="Arial TUR" w:hAnsi="Arial TUR" w:cs="FrankRuehl" w:hint="cs"/>
          <w:spacing w:val="10"/>
          <w:sz w:val="22"/>
          <w:szCs w:val="28"/>
          <w:rtl/>
        </w:rPr>
        <w:t xml:space="preserve">"לעיתים קרובות תאופיין התעללות בסדרת מעשים מתמשכת. במקרה כזה, יתכן שכל מעשה כשלעצמו אינו עולה לכדי התעללות, אולם הצטרפותם יכולה להפכם </w:t>
      </w:r>
      <w:proofErr w:type="spellStart"/>
      <w:r w:rsidRPr="007F5756">
        <w:rPr>
          <w:rFonts w:ascii="Arial TUR" w:hAnsi="Arial TUR" w:cs="FrankRuehl" w:hint="cs"/>
          <w:spacing w:val="10"/>
          <w:sz w:val="22"/>
          <w:szCs w:val="28"/>
          <w:rtl/>
        </w:rPr>
        <w:t>לכזו</w:t>
      </w:r>
      <w:proofErr w:type="spellEnd"/>
      <w:r w:rsidRPr="007F5756">
        <w:rPr>
          <w:rFonts w:ascii="Arial TUR" w:hAnsi="Arial TUR" w:cs="FrankRuehl" w:hint="cs"/>
          <w:spacing w:val="10"/>
          <w:sz w:val="22"/>
          <w:szCs w:val="28"/>
          <w:rtl/>
        </w:rPr>
        <w:t xml:space="preserve">". (ע"פ 7704/13 </w:t>
      </w:r>
      <w:proofErr w:type="spellStart"/>
      <w:r w:rsidRPr="007F5756">
        <w:rPr>
          <w:rFonts w:ascii="Century" w:hAnsi="Century" w:cs="Miriam" w:hint="cs"/>
          <w:b/>
          <w:sz w:val="22"/>
          <w:rtl/>
        </w:rPr>
        <w:t>מרגולין</w:t>
      </w:r>
      <w:proofErr w:type="spellEnd"/>
      <w:r w:rsidRPr="007F5756">
        <w:rPr>
          <w:rFonts w:ascii="Century" w:hAnsi="Century" w:cs="Miriam" w:hint="cs"/>
          <w:b/>
          <w:sz w:val="22"/>
          <w:rtl/>
        </w:rPr>
        <w:t xml:space="preserve"> נ' מדינת ישראל</w:t>
      </w:r>
      <w:r w:rsidRPr="007F5756">
        <w:rPr>
          <w:rFonts w:ascii="Arial TUR" w:hAnsi="Arial TUR" w:cs="FrankRuehl" w:hint="cs"/>
          <w:spacing w:val="10"/>
          <w:sz w:val="22"/>
          <w:szCs w:val="28"/>
          <w:rtl/>
        </w:rPr>
        <w:t xml:space="preserve">, פסקה 8 לחוות דעתי (8.12.2005)).  </w:t>
      </w:r>
    </w:p>
    <w:p w:rsidR="00D865EA" w:rsidRPr="007F5756" w:rsidRDefault="00D865EA" w:rsidP="00D865EA">
      <w:pPr>
        <w:ind w:left="1644" w:right="1276"/>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r w:rsidRPr="007F5756">
        <w:rPr>
          <w:rFonts w:ascii="Arial TUR" w:hAnsi="Arial TUR" w:cs="FrankRuehl" w:hint="cs"/>
          <w:spacing w:val="10"/>
          <w:sz w:val="22"/>
          <w:szCs w:val="28"/>
          <w:rtl/>
        </w:rPr>
        <w:t xml:space="preserve">כך, למעשה: </w:t>
      </w:r>
    </w:p>
    <w:p w:rsidR="00D865EA" w:rsidRPr="007F5756" w:rsidRDefault="00D865EA" w:rsidP="00D865EA">
      <w:pPr>
        <w:tabs>
          <w:tab w:val="left" w:pos="800"/>
        </w:tabs>
        <w:spacing w:line="360" w:lineRule="auto"/>
        <w:jc w:val="both"/>
        <w:rPr>
          <w:rFonts w:ascii="Arial TUR" w:hAnsi="Arial TUR" w:cs="FrankRuehl"/>
          <w:spacing w:val="10"/>
          <w:sz w:val="16"/>
          <w:szCs w:val="20"/>
          <w:rtl/>
        </w:rPr>
      </w:pPr>
    </w:p>
    <w:p w:rsidR="00D865EA" w:rsidRPr="007F5756" w:rsidRDefault="00D865EA" w:rsidP="00D865EA">
      <w:pPr>
        <w:ind w:left="1644" w:right="1276"/>
        <w:jc w:val="both"/>
        <w:rPr>
          <w:rFonts w:ascii="Arial TUR" w:hAnsi="Arial TUR" w:cs="FrankRuehl"/>
          <w:spacing w:val="10"/>
          <w:sz w:val="22"/>
          <w:szCs w:val="28"/>
          <w:rtl/>
        </w:rPr>
      </w:pPr>
      <w:r w:rsidRPr="007F5756">
        <w:rPr>
          <w:rFonts w:ascii="Arial TUR" w:hAnsi="Arial TUR" w:cs="FrankRuehl" w:hint="cs"/>
          <w:spacing w:val="10"/>
          <w:sz w:val="22"/>
          <w:szCs w:val="28"/>
          <w:rtl/>
        </w:rPr>
        <w:t>"</w:t>
      </w:r>
      <w:r w:rsidRPr="007F5756">
        <w:rPr>
          <w:rFonts w:ascii="Arial TUR" w:hAnsi="Arial TUR" w:cs="FrankRuehl"/>
          <w:spacing w:val="10"/>
          <w:sz w:val="22"/>
          <w:szCs w:val="28"/>
          <w:rtl/>
        </w:rPr>
        <w:t>ייתכן שכל מעשה (או מחדל) בשרשרת ההתעללות, כשלעצמו, לא יישא אופי אכזרי או משפיל. עם זאת, הצטברות המעשים (או המחדלים) והתמשכותם על פני זמן, הם שיביאו לדרגת חומרה ולאכזריות, להשפלה ולביזוי או להטלת אימה  שיקימו התעללות</w:t>
      </w:r>
      <w:r w:rsidRPr="007F5756">
        <w:rPr>
          <w:rFonts w:ascii="Arial TUR" w:hAnsi="Arial TUR" w:cs="FrankRuehl" w:hint="cs"/>
          <w:spacing w:val="10"/>
          <w:sz w:val="22"/>
          <w:szCs w:val="28"/>
          <w:rtl/>
        </w:rPr>
        <w:t>" (</w:t>
      </w:r>
      <w:r w:rsidRPr="007F5756">
        <w:rPr>
          <w:rFonts w:ascii="Arial TUR" w:hAnsi="Arial TUR" w:cs="FrankRuehl" w:hint="eastAsia"/>
          <w:spacing w:val="10"/>
          <w:sz w:val="22"/>
          <w:szCs w:val="28"/>
          <w:rtl/>
        </w:rPr>
        <w:t>ע</w:t>
      </w:r>
      <w:r w:rsidRPr="007F5756">
        <w:rPr>
          <w:rFonts w:ascii="Arial TUR" w:hAnsi="Arial TUR" w:cs="FrankRuehl"/>
          <w:spacing w:val="10"/>
          <w:sz w:val="22"/>
          <w:szCs w:val="28"/>
          <w:rtl/>
        </w:rPr>
        <w:t>"</w:t>
      </w:r>
      <w:r w:rsidRPr="007F5756">
        <w:rPr>
          <w:rFonts w:ascii="Arial TUR" w:hAnsi="Arial TUR" w:cs="FrankRuehl" w:hint="eastAsia"/>
          <w:spacing w:val="10"/>
          <w:sz w:val="22"/>
          <w:szCs w:val="28"/>
          <w:rtl/>
        </w:rPr>
        <w:t>פ</w:t>
      </w:r>
      <w:r w:rsidRPr="007F5756">
        <w:rPr>
          <w:rFonts w:ascii="Arial TUR" w:hAnsi="Arial TUR" w:cs="FrankRuehl"/>
          <w:spacing w:val="10"/>
          <w:sz w:val="22"/>
          <w:szCs w:val="28"/>
          <w:rtl/>
        </w:rPr>
        <w:t xml:space="preserve"> 4596/98 </w:t>
      </w:r>
      <w:r w:rsidRPr="007F5756">
        <w:rPr>
          <w:rFonts w:ascii="Century" w:hAnsi="Century" w:cs="Miriam" w:hint="eastAsia"/>
          <w:b/>
          <w:sz w:val="22"/>
          <w:rtl/>
        </w:rPr>
        <w:t>פלונית</w:t>
      </w:r>
      <w:r w:rsidRPr="007F5756">
        <w:rPr>
          <w:rFonts w:ascii="Century" w:hAnsi="Century" w:cs="Miriam"/>
          <w:b/>
          <w:sz w:val="22"/>
          <w:rtl/>
        </w:rPr>
        <w:t xml:space="preserve"> </w:t>
      </w:r>
      <w:r w:rsidRPr="007F5756">
        <w:rPr>
          <w:rFonts w:ascii="Century" w:hAnsi="Century" w:cs="Miriam" w:hint="eastAsia"/>
          <w:b/>
          <w:sz w:val="22"/>
          <w:rtl/>
        </w:rPr>
        <w:t>נ</w:t>
      </w:r>
      <w:r w:rsidRPr="007F5756">
        <w:rPr>
          <w:rFonts w:ascii="Century" w:hAnsi="Century" w:cs="Miriam"/>
          <w:b/>
          <w:sz w:val="22"/>
          <w:rtl/>
        </w:rPr>
        <w:t xml:space="preserve">' </w:t>
      </w:r>
      <w:r w:rsidRPr="007F5756">
        <w:rPr>
          <w:rFonts w:ascii="Century" w:hAnsi="Century" w:cs="Miriam" w:hint="eastAsia"/>
          <w:b/>
          <w:sz w:val="22"/>
          <w:rtl/>
        </w:rPr>
        <w:t>מדינת</w:t>
      </w:r>
      <w:r w:rsidRPr="007F5756">
        <w:rPr>
          <w:rFonts w:ascii="Century" w:hAnsi="Century" w:cs="Miriam"/>
          <w:b/>
          <w:sz w:val="22"/>
          <w:rtl/>
        </w:rPr>
        <w:t xml:space="preserve"> </w:t>
      </w:r>
      <w:r w:rsidRPr="007F5756">
        <w:rPr>
          <w:rFonts w:ascii="Century" w:hAnsi="Century" w:cs="Miriam" w:hint="eastAsia"/>
          <w:b/>
          <w:sz w:val="22"/>
          <w:rtl/>
        </w:rPr>
        <w:t>ישראל</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פ</w:t>
      </w:r>
      <w:r w:rsidRPr="007F5756">
        <w:rPr>
          <w:rFonts w:ascii="Arial TUR" w:hAnsi="Arial TUR" w:cs="FrankRuehl"/>
          <w:spacing w:val="10"/>
          <w:sz w:val="22"/>
          <w:szCs w:val="28"/>
          <w:rtl/>
        </w:rPr>
        <w:t>"</w:t>
      </w:r>
      <w:r w:rsidRPr="007F5756">
        <w:rPr>
          <w:rFonts w:ascii="Arial TUR" w:hAnsi="Arial TUR" w:cs="FrankRuehl" w:hint="eastAsia"/>
          <w:spacing w:val="10"/>
          <w:sz w:val="22"/>
          <w:szCs w:val="28"/>
          <w:rtl/>
        </w:rPr>
        <w:t>ד</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נד</w:t>
      </w:r>
      <w:r w:rsidRPr="007F5756">
        <w:rPr>
          <w:rFonts w:ascii="Arial TUR" w:hAnsi="Arial TUR" w:cs="FrankRuehl"/>
          <w:spacing w:val="10"/>
          <w:sz w:val="22"/>
          <w:szCs w:val="28"/>
          <w:rtl/>
        </w:rPr>
        <w:t>(1) 145</w:t>
      </w:r>
      <w:r w:rsidRPr="007F5756">
        <w:rPr>
          <w:rFonts w:ascii="Arial TUR" w:hAnsi="Arial TUR" w:cs="FrankRuehl" w:hint="cs"/>
          <w:spacing w:val="10"/>
          <w:sz w:val="22"/>
          <w:szCs w:val="28"/>
          <w:rtl/>
        </w:rPr>
        <w:t xml:space="preserve">, 169א'-170א' וההפניות שם).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r w:rsidRPr="007F5756">
        <w:rPr>
          <w:rFonts w:ascii="Arial TUR" w:hAnsi="Arial TUR" w:cs="FrankRuehl" w:hint="cs"/>
          <w:spacing w:val="10"/>
          <w:sz w:val="22"/>
          <w:szCs w:val="28"/>
          <w:rtl/>
        </w:rPr>
        <w:t xml:space="preserve">הנה כי כן, בעבירת ההתעללות בקטין או בחסר ישע הכירה הפסיקה בכך שסדרה של מעשים, אשר כשלעצמם אינם מגבשים את העבירה הנדונה, יכולים להצטבר לכדי מכלול אחד אשר הוא זה שיקיים את יסודותיה.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lastRenderedPageBreak/>
        <w:tab/>
      </w:r>
      <w:r w:rsidRPr="007F5756">
        <w:rPr>
          <w:rFonts w:ascii="Arial TUR" w:hAnsi="Arial TUR" w:cs="FrankRuehl" w:hint="cs"/>
          <w:spacing w:val="10"/>
          <w:sz w:val="22"/>
          <w:szCs w:val="28"/>
          <w:rtl/>
        </w:rPr>
        <w:t>יושם אל לב, כי עבירת ההתעללות דומה לעבירת הפרת האמונים במובן הזה ששתי העבירות כוללות יסוד עובדתי התנהגותי שאינו מוגדר ברורות בחוק, בניגוד לעבירות אחרות כד</w:t>
      </w:r>
      <w:r>
        <w:rPr>
          <w:rFonts w:ascii="Arial TUR" w:hAnsi="Arial TUR" w:cs="FrankRuehl" w:hint="cs"/>
          <w:spacing w:val="10"/>
          <w:sz w:val="22"/>
          <w:szCs w:val="28"/>
          <w:rtl/>
        </w:rPr>
        <w:t>וגמת תקיפה או זיוף (ראו בסעיפים</w:t>
      </w:r>
      <w:r w:rsidRPr="007F5756">
        <w:rPr>
          <w:rFonts w:ascii="Arial TUR" w:hAnsi="Arial TUR" w:cs="FrankRuehl" w:hint="cs"/>
          <w:spacing w:val="10"/>
          <w:sz w:val="22"/>
          <w:szCs w:val="28"/>
          <w:rtl/>
        </w:rPr>
        <w:t xml:space="preserve"> 378 ו-414 לחוק העונשין, בהתאמה). הדבר הוביל את בתי המשפט לצקת תוכן ליסודותיהן של עבירת ההתעללות ועבירת הפרת האמונים, על דרך של פרשנות. במסגרת זו, הוגדרו המעשים המקיימים את היסוד העובדתי בעיקרם כפונקציה של הפגיעה בערכים המוגנים על ידי העבירה. מעשה של הפרת אמונים פורש כאמור כמעשה שפוגע באופן מהותי באמון הציבור בשלטון, בטוהר המידות של עובדי הציבור ובתקינות פעיל</w:t>
      </w:r>
      <w:r>
        <w:rPr>
          <w:rFonts w:ascii="Arial TUR" w:hAnsi="Arial TUR" w:cs="FrankRuehl" w:hint="cs"/>
          <w:spacing w:val="10"/>
          <w:sz w:val="22"/>
          <w:szCs w:val="28"/>
          <w:rtl/>
        </w:rPr>
        <w:t xml:space="preserve">ות המִנהל. מעשה התעללות פורש </w:t>
      </w:r>
      <w:proofErr w:type="spellStart"/>
      <w:r>
        <w:rPr>
          <w:rFonts w:ascii="Arial TUR" w:hAnsi="Arial TUR" w:cs="FrankRuehl" w:hint="cs"/>
          <w:spacing w:val="10"/>
          <w:sz w:val="22"/>
          <w:szCs w:val="28"/>
          <w:rtl/>
        </w:rPr>
        <w:t>מצי</w:t>
      </w:r>
      <w:r w:rsidRPr="007F5756">
        <w:rPr>
          <w:rFonts w:ascii="Arial TUR" w:hAnsi="Arial TUR" w:cs="FrankRuehl" w:hint="cs"/>
          <w:spacing w:val="10"/>
          <w:sz w:val="22"/>
          <w:szCs w:val="28"/>
          <w:rtl/>
        </w:rPr>
        <w:t>דו</w:t>
      </w:r>
      <w:proofErr w:type="spellEnd"/>
      <w:r w:rsidRPr="007F5756">
        <w:rPr>
          <w:rFonts w:ascii="Arial TUR" w:hAnsi="Arial TUR" w:cs="FrankRuehl" w:hint="cs"/>
          <w:spacing w:val="10"/>
          <w:sz w:val="22"/>
          <w:szCs w:val="28"/>
          <w:rtl/>
        </w:rPr>
        <w:t xml:space="preserve"> כמעשה הנושא בתוכו אכזריות, הטלת אימה או השפלה, המבטאים את רמיסת כבודו של הנפגע באופן בולט ומובהק (</w:t>
      </w:r>
      <w:r w:rsidRPr="007F5756">
        <w:rPr>
          <w:rFonts w:ascii="Miriam" w:hAnsi="Miriam" w:cs="Miriam"/>
          <w:spacing w:val="10"/>
          <w:rtl/>
        </w:rPr>
        <w:t xml:space="preserve">עניין </w:t>
      </w:r>
      <w:proofErr w:type="spellStart"/>
      <w:r w:rsidRPr="007F5756">
        <w:rPr>
          <w:rFonts w:ascii="Miriam" w:hAnsi="Miriam" w:cs="Miriam"/>
          <w:spacing w:val="10"/>
          <w:rtl/>
        </w:rPr>
        <w:t>מרגולין</w:t>
      </w:r>
      <w:proofErr w:type="spellEnd"/>
      <w:r w:rsidRPr="007F5756">
        <w:rPr>
          <w:rFonts w:ascii="Arial TUR" w:hAnsi="Arial TUR" w:cs="FrankRuehl" w:hint="cs"/>
          <w:spacing w:val="10"/>
          <w:sz w:val="22"/>
          <w:szCs w:val="28"/>
          <w:rtl/>
        </w:rPr>
        <w:t xml:space="preserve">, פסקה 7 לחוות דעתי).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r w:rsidRPr="007F5756">
        <w:rPr>
          <w:rFonts w:ascii="Arial TUR" w:hAnsi="Arial TUR" w:cs="FrankRuehl" w:hint="cs"/>
          <w:spacing w:val="10"/>
          <w:sz w:val="22"/>
          <w:szCs w:val="28"/>
          <w:rtl/>
        </w:rPr>
        <w:t>מכיוון שעבירת ההתעללות הינה "עבירה רחבה הכוללת מגוון של התנהגויות", אפשר שייתפס ברשתה "מעשה אחד, הכולל אלמנט בולט של ביזוי, השפ</w:t>
      </w:r>
      <w:r>
        <w:rPr>
          <w:rFonts w:ascii="Arial TUR" w:hAnsi="Arial TUR" w:cs="FrankRuehl" w:hint="cs"/>
          <w:spacing w:val="10"/>
          <w:sz w:val="22"/>
          <w:szCs w:val="28"/>
          <w:rtl/>
        </w:rPr>
        <w:t>לה או דיכוי", בעוד שלעיתים</w:t>
      </w:r>
      <w:r w:rsidRPr="007F5756">
        <w:rPr>
          <w:rFonts w:ascii="Arial TUR" w:hAnsi="Arial TUR" w:cs="FrankRuehl" w:hint="cs"/>
          <w:spacing w:val="10"/>
          <w:sz w:val="22"/>
          <w:szCs w:val="28"/>
          <w:rtl/>
        </w:rPr>
        <w:t xml:space="preserve">, "כאשר אלמנטים אלה אינם בולטים, מדובר במעשים הנמשכים לאורך תקופה ארוכה ונעשים באורח שיטתי." (שם, פסקה 8 </w:t>
      </w:r>
      <w:r w:rsidRPr="009030CA">
        <w:rPr>
          <w:rFonts w:ascii="Arial TUR" w:hAnsi="Arial TUR" w:cs="FrankRuehl" w:hint="cs"/>
          <w:spacing w:val="10"/>
          <w:sz w:val="22"/>
          <w:szCs w:val="28"/>
          <w:rtl/>
        </w:rPr>
        <w:t>לחוות דעתי).</w:t>
      </w:r>
      <w:r>
        <w:rPr>
          <w:rFonts w:ascii="Arial TUR" w:hAnsi="Arial TUR" w:cs="FrankRuehl" w:hint="cs"/>
          <w:spacing w:val="10"/>
          <w:sz w:val="22"/>
          <w:szCs w:val="28"/>
          <w:rtl/>
        </w:rPr>
        <w:t xml:space="preserve"> </w:t>
      </w:r>
    </w:p>
    <w:p w:rsidR="00D865EA" w:rsidRDefault="00D865EA" w:rsidP="00D865EA">
      <w:pPr>
        <w:tabs>
          <w:tab w:val="left" w:pos="800"/>
        </w:tabs>
        <w:spacing w:line="360" w:lineRule="auto"/>
        <w:jc w:val="both"/>
        <w:rPr>
          <w:rFonts w:ascii="Arial TUR" w:hAnsi="Arial TUR" w:cs="FrankRuehl"/>
          <w:spacing w:val="10"/>
          <w:sz w:val="22"/>
          <w:szCs w:val="28"/>
          <w:rtl/>
        </w:rPr>
      </w:pPr>
    </w:p>
    <w:p w:rsidR="00D865EA" w:rsidRDefault="00D865EA" w:rsidP="00D865EA">
      <w:pPr>
        <w:tabs>
          <w:tab w:val="left" w:pos="800"/>
        </w:tabs>
        <w:spacing w:line="360" w:lineRule="auto"/>
        <w:jc w:val="both"/>
        <w:rPr>
          <w:rFonts w:ascii="Arial TUR" w:hAnsi="Arial TUR" w:cs="FrankRuehl"/>
          <w:spacing w:val="10"/>
          <w:sz w:val="22"/>
          <w:szCs w:val="28"/>
          <w:rtl/>
        </w:rPr>
      </w:pPr>
      <w:r>
        <w:rPr>
          <w:rFonts w:ascii="Arial TUR" w:hAnsi="Arial TUR" w:cs="FrankRuehl"/>
          <w:spacing w:val="10"/>
          <w:sz w:val="22"/>
          <w:szCs w:val="28"/>
          <w:rtl/>
        </w:rPr>
        <w:tab/>
      </w:r>
      <w:r>
        <w:rPr>
          <w:rFonts w:ascii="Arial TUR" w:hAnsi="Arial TUR" w:cs="FrankRuehl" w:hint="cs"/>
          <w:spacing w:val="10"/>
          <w:sz w:val="22"/>
          <w:szCs w:val="28"/>
          <w:rtl/>
        </w:rPr>
        <w:t>אמירות דומות נשמעו בפסיקה גם ביחס לעבירה אחרת, שעניינה הטרדה באמצעות שימוש במתקן בזק. סעיף 30 לחוק התקשורת (בזק ושידורים), התשמ"ד-1982, קובע עונש של עד שלוש שנות מאסר לאדם "המשתמש במיתקן בזק באופן שיש בו כדי לפגוע, להפחיד, להטריד, ליצור חרדה או להרגיז שלא כדין". בפסיקה נקבע שיש לבחון אם השימוש במיתקן הביא לפגיעה כאמור, תוך התחשבות גם בתוכן של ההטרדות וגם בצורה שלהן, קרי בכמות ההטרדות. בהקשר זה צוין כי "</w:t>
      </w:r>
      <w:r w:rsidRPr="00184E79">
        <w:rPr>
          <w:rFonts w:ascii="Arial TUR" w:hAnsi="Arial TUR" w:cs="FrankRuehl" w:hint="cs"/>
          <w:spacing w:val="10"/>
          <w:sz w:val="22"/>
          <w:szCs w:val="28"/>
          <w:rtl/>
        </w:rPr>
        <w:t>פעמים יהיה התוכן בולט, ואזי תהא חשיבות מועטה יותר למספר הפעמים שבהן נעשית ההטרדה, ופעמים תהא הצורה בולטת, וכמותה תגבר על תוכן שאיננו מטריד ביותר כשלעצמו</w:t>
      </w:r>
      <w:r>
        <w:rPr>
          <w:rFonts w:ascii="Arial TUR" w:hAnsi="Arial TUR" w:cs="FrankRuehl" w:hint="cs"/>
          <w:spacing w:val="10"/>
          <w:sz w:val="22"/>
          <w:szCs w:val="28"/>
          <w:rtl/>
        </w:rPr>
        <w:t>" (</w:t>
      </w:r>
      <w:proofErr w:type="spellStart"/>
      <w:r>
        <w:rPr>
          <w:rFonts w:ascii="Arial TUR" w:hAnsi="Arial TUR" w:cs="FrankRuehl" w:hint="cs"/>
          <w:spacing w:val="10"/>
          <w:sz w:val="22"/>
          <w:szCs w:val="28"/>
          <w:rtl/>
        </w:rPr>
        <w:t>רע"פ</w:t>
      </w:r>
      <w:proofErr w:type="spellEnd"/>
      <w:r>
        <w:rPr>
          <w:rFonts w:ascii="Arial TUR" w:hAnsi="Arial TUR" w:cs="FrankRuehl" w:hint="cs"/>
          <w:spacing w:val="10"/>
          <w:sz w:val="22"/>
          <w:szCs w:val="28"/>
          <w:rtl/>
        </w:rPr>
        <w:t xml:space="preserve"> 10462/03 </w:t>
      </w:r>
      <w:proofErr w:type="spellStart"/>
      <w:r w:rsidRPr="001C5D41">
        <w:rPr>
          <w:rFonts w:ascii="Miriam" w:hAnsi="Miriam" w:cs="Miriam"/>
          <w:spacing w:val="10"/>
          <w:rtl/>
        </w:rPr>
        <w:t>הראר</w:t>
      </w:r>
      <w:proofErr w:type="spellEnd"/>
      <w:r w:rsidRPr="001C5D41">
        <w:rPr>
          <w:rFonts w:ascii="Miriam" w:hAnsi="Miriam" w:cs="Miriam"/>
          <w:spacing w:val="10"/>
          <w:rtl/>
        </w:rPr>
        <w:t xml:space="preserve"> נ' מדינת ישראל</w:t>
      </w:r>
      <w:r>
        <w:rPr>
          <w:rFonts w:ascii="Arial TUR" w:hAnsi="Arial TUR" w:cs="FrankRuehl" w:hint="cs"/>
          <w:spacing w:val="10"/>
          <w:sz w:val="22"/>
          <w:szCs w:val="28"/>
          <w:rtl/>
        </w:rPr>
        <w:t xml:space="preserve">, פ"ד ס(2) 70, 81א' (2005)). המשמעות היא שאפשר שמעשה בודד, למשל, של הטחת עלבון באדם באמצעות טלפון, לא יגרום לפגיעה בדרגה כזו המגבשת את יסודות העבירה </w:t>
      </w:r>
      <w:r>
        <w:rPr>
          <w:rFonts w:ascii="Arial TUR" w:hAnsi="Arial TUR" w:cs="FrankRuehl"/>
          <w:spacing w:val="10"/>
          <w:sz w:val="22"/>
          <w:szCs w:val="28"/>
          <w:rtl/>
        </w:rPr>
        <w:t>–</w:t>
      </w:r>
      <w:r>
        <w:rPr>
          <w:rFonts w:ascii="Arial TUR" w:hAnsi="Arial TUR" w:cs="FrankRuehl" w:hint="cs"/>
          <w:spacing w:val="10"/>
          <w:sz w:val="22"/>
          <w:szCs w:val="28"/>
          <w:rtl/>
        </w:rPr>
        <w:t xml:space="preserve"> ואולם החזרה על מעשה זה שוב ושוב היא שתעשה כן. </w:t>
      </w:r>
    </w:p>
    <w:p w:rsidR="00D865EA"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Pr>
          <w:rFonts w:ascii="Arial TUR" w:hAnsi="Arial TUR" w:cs="FrankRuehl"/>
          <w:spacing w:val="10"/>
          <w:sz w:val="22"/>
          <w:szCs w:val="28"/>
          <w:rtl/>
        </w:rPr>
        <w:tab/>
      </w:r>
      <w:r>
        <w:rPr>
          <w:rFonts w:ascii="Arial TUR" w:hAnsi="Arial TUR" w:cs="FrankRuehl" w:hint="cs"/>
          <w:spacing w:val="10"/>
          <w:sz w:val="22"/>
          <w:szCs w:val="28"/>
          <w:rtl/>
        </w:rPr>
        <w:t xml:space="preserve">עבירה זו, כמו גם עבירת ההתעללות, פורשו בהרחבה כמבטאות פגיעה בקורבן באופן מסוים ובדרגה מסוימת. העובדה שבפועל פגיעה כזו יכולה </w:t>
      </w:r>
      <w:r w:rsidRPr="007F5756">
        <w:rPr>
          <w:rFonts w:ascii="Arial TUR" w:hAnsi="Arial TUR" w:cs="FrankRuehl" w:hint="cs"/>
          <w:spacing w:val="10"/>
          <w:sz w:val="22"/>
          <w:szCs w:val="28"/>
          <w:rtl/>
        </w:rPr>
        <w:t xml:space="preserve">להיגרם בשל הצטברות של מעשים, שלבדם אינם פוגעים בקורבן באופן האמור </w:t>
      </w:r>
      <w:r w:rsidRPr="007F5756">
        <w:rPr>
          <w:rFonts w:ascii="Arial TUR" w:hAnsi="Arial TUR" w:cs="FrankRuehl"/>
          <w:spacing w:val="10"/>
          <w:sz w:val="22"/>
          <w:szCs w:val="28"/>
          <w:rtl/>
        </w:rPr>
        <w:t>–</w:t>
      </w:r>
      <w:r w:rsidRPr="007F5756">
        <w:rPr>
          <w:rFonts w:ascii="Arial TUR" w:hAnsi="Arial TUR" w:cs="FrankRuehl" w:hint="cs"/>
          <w:spacing w:val="10"/>
          <w:sz w:val="22"/>
          <w:szCs w:val="28"/>
          <w:rtl/>
        </w:rPr>
        <w:t xml:space="preserve"> ה</w:t>
      </w:r>
      <w:r>
        <w:rPr>
          <w:rFonts w:ascii="Arial TUR" w:hAnsi="Arial TUR" w:cs="FrankRuehl" w:hint="cs"/>
          <w:spacing w:val="10"/>
          <w:sz w:val="22"/>
          <w:szCs w:val="28"/>
          <w:rtl/>
        </w:rPr>
        <w:t>יא שמצדיקה</w:t>
      </w:r>
      <w:r w:rsidRPr="007F5756">
        <w:rPr>
          <w:rFonts w:ascii="Arial TUR" w:hAnsi="Arial TUR" w:cs="FrankRuehl" w:hint="cs"/>
          <w:spacing w:val="10"/>
          <w:sz w:val="22"/>
          <w:szCs w:val="28"/>
          <w:rtl/>
        </w:rPr>
        <w:t xml:space="preserve"> להכניס את המצבור כולו תחת כנפי העבירה. אם נשלול את הא</w:t>
      </w:r>
      <w:r>
        <w:rPr>
          <w:rFonts w:ascii="Arial TUR" w:hAnsi="Arial TUR" w:cs="FrankRuehl" w:hint="cs"/>
          <w:spacing w:val="10"/>
          <w:sz w:val="22"/>
          <w:szCs w:val="28"/>
          <w:rtl/>
        </w:rPr>
        <w:t>פשרות לבסס הרשעה על מצבור מעשים שכזה</w:t>
      </w:r>
      <w:r w:rsidRPr="007F5756">
        <w:rPr>
          <w:rFonts w:ascii="Arial TUR" w:hAnsi="Arial TUR" w:cs="FrankRuehl" w:hint="cs"/>
          <w:spacing w:val="10"/>
          <w:sz w:val="22"/>
          <w:szCs w:val="28"/>
          <w:rtl/>
        </w:rPr>
        <w:t>, המ</w:t>
      </w:r>
      <w:r>
        <w:rPr>
          <w:rFonts w:ascii="Arial TUR" w:hAnsi="Arial TUR" w:cs="FrankRuehl" w:hint="cs"/>
          <w:spacing w:val="10"/>
          <w:sz w:val="22"/>
          <w:szCs w:val="28"/>
          <w:rtl/>
        </w:rPr>
        <w:t xml:space="preserve">שמעות היא שלא נוכל להפליל מעשים הגורמים לפגיעה </w:t>
      </w:r>
      <w:r w:rsidRPr="007F5756">
        <w:rPr>
          <w:rFonts w:ascii="Arial TUR" w:hAnsi="Arial TUR" w:cs="FrankRuehl" w:hint="cs"/>
          <w:spacing w:val="10"/>
          <w:sz w:val="22"/>
          <w:szCs w:val="28"/>
          <w:rtl/>
        </w:rPr>
        <w:t>שאו</w:t>
      </w:r>
      <w:r>
        <w:rPr>
          <w:rFonts w:ascii="Arial TUR" w:hAnsi="Arial TUR" w:cs="FrankRuehl" w:hint="cs"/>
          <w:spacing w:val="10"/>
          <w:sz w:val="22"/>
          <w:szCs w:val="28"/>
          <w:rtl/>
        </w:rPr>
        <w:t xml:space="preserve">תה באה העבירה למנוע. טלו לדוגמה </w:t>
      </w:r>
      <w:r w:rsidRPr="007F5756">
        <w:rPr>
          <w:rFonts w:ascii="Arial TUR" w:hAnsi="Arial TUR" w:cs="FrankRuehl" w:hint="cs"/>
          <w:spacing w:val="10"/>
          <w:sz w:val="22"/>
          <w:szCs w:val="28"/>
          <w:rtl/>
        </w:rPr>
        <w:t xml:space="preserve">את המקרה שנידון בפסיקה, של אב שבמשך כשנתיים </w:t>
      </w:r>
      <w:r w:rsidRPr="007F5756">
        <w:rPr>
          <w:rFonts w:ascii="Arial TUR" w:hAnsi="Arial TUR" w:cs="FrankRuehl" w:hint="cs"/>
          <w:spacing w:val="10"/>
          <w:sz w:val="22"/>
          <w:szCs w:val="28"/>
          <w:rtl/>
        </w:rPr>
        <w:lastRenderedPageBreak/>
        <w:t>נהג, בין היתר, לקלל את בתו הקטינה ולכנותה בשמות גנאי, להצליף בחגורה לידה, ולאיים עליה כי יזרוק אותה מהבית לפנימייה. כל אחד מהמעשים הללו לבדו אינו מגבש את עבירת ההתעללות, וייתכן אף שאינו מגבש עבירה פלילית כלל. ואולם, ביחס להצטרפות המעשים אלה אל אלה, ציין בית משפט זה כי "[...]אם מצבור אירועים אלה אינו התעללות, התעללות מהי – לא ידעתי" (</w:t>
      </w:r>
      <w:r w:rsidRPr="007F5756">
        <w:rPr>
          <w:rFonts w:ascii="Arial TUR" w:hAnsi="Arial TUR" w:cs="FrankRuehl" w:hint="eastAsia"/>
          <w:spacing w:val="10"/>
          <w:sz w:val="22"/>
          <w:szCs w:val="28"/>
          <w:rtl/>
        </w:rPr>
        <w:t>ע</w:t>
      </w:r>
      <w:r w:rsidRPr="007F5756">
        <w:rPr>
          <w:rFonts w:ascii="Arial TUR" w:hAnsi="Arial TUR" w:cs="FrankRuehl"/>
          <w:spacing w:val="10"/>
          <w:sz w:val="22"/>
          <w:szCs w:val="28"/>
          <w:rtl/>
        </w:rPr>
        <w:t>"</w:t>
      </w:r>
      <w:r w:rsidRPr="007F5756">
        <w:rPr>
          <w:rFonts w:ascii="Arial TUR" w:hAnsi="Arial TUR" w:cs="FrankRuehl" w:hint="eastAsia"/>
          <w:spacing w:val="10"/>
          <w:sz w:val="22"/>
          <w:szCs w:val="28"/>
          <w:rtl/>
        </w:rPr>
        <w:t>פ</w:t>
      </w:r>
      <w:r w:rsidRPr="007F5756">
        <w:rPr>
          <w:rFonts w:ascii="Arial TUR" w:hAnsi="Arial TUR" w:cs="FrankRuehl"/>
          <w:spacing w:val="10"/>
          <w:sz w:val="22"/>
          <w:szCs w:val="28"/>
          <w:rtl/>
        </w:rPr>
        <w:t xml:space="preserve"> 405/03 </w:t>
      </w:r>
      <w:r w:rsidRPr="007F5756">
        <w:rPr>
          <w:rFonts w:ascii="Century" w:hAnsi="Century" w:cs="Miriam" w:hint="eastAsia"/>
          <w:b/>
          <w:sz w:val="22"/>
          <w:rtl/>
        </w:rPr>
        <w:t>פלוני</w:t>
      </w:r>
      <w:r w:rsidRPr="007F5756">
        <w:rPr>
          <w:rFonts w:ascii="Century" w:hAnsi="Century" w:cs="Miriam"/>
          <w:b/>
          <w:sz w:val="22"/>
          <w:rtl/>
        </w:rPr>
        <w:t xml:space="preserve"> </w:t>
      </w:r>
      <w:r w:rsidRPr="007F5756">
        <w:rPr>
          <w:rFonts w:ascii="Century" w:hAnsi="Century" w:cs="Miriam" w:hint="eastAsia"/>
          <w:b/>
          <w:sz w:val="22"/>
          <w:rtl/>
        </w:rPr>
        <w:t>נ</w:t>
      </w:r>
      <w:r w:rsidRPr="007F5756">
        <w:rPr>
          <w:rFonts w:ascii="Century" w:hAnsi="Century" w:cs="Miriam"/>
          <w:b/>
          <w:sz w:val="22"/>
          <w:rtl/>
        </w:rPr>
        <w:t xml:space="preserve">' </w:t>
      </w:r>
      <w:r w:rsidRPr="007F5756">
        <w:rPr>
          <w:rFonts w:ascii="Century" w:hAnsi="Century" w:cs="Miriam" w:hint="eastAsia"/>
          <w:b/>
          <w:sz w:val="22"/>
          <w:rtl/>
        </w:rPr>
        <w:t>מדינת</w:t>
      </w:r>
      <w:r w:rsidRPr="007F5756">
        <w:rPr>
          <w:rFonts w:ascii="Century" w:hAnsi="Century" w:cs="Miriam"/>
          <w:b/>
          <w:sz w:val="22"/>
          <w:rtl/>
        </w:rPr>
        <w:t xml:space="preserve"> </w:t>
      </w:r>
      <w:r w:rsidRPr="007F5756">
        <w:rPr>
          <w:rFonts w:ascii="Century" w:hAnsi="Century" w:cs="Miriam" w:hint="eastAsia"/>
          <w:b/>
          <w:sz w:val="22"/>
          <w:rtl/>
        </w:rPr>
        <w:t>ישראל</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פ</w:t>
      </w:r>
      <w:r w:rsidRPr="007F5756">
        <w:rPr>
          <w:rFonts w:ascii="Arial TUR" w:hAnsi="Arial TUR" w:cs="FrankRuehl"/>
          <w:spacing w:val="10"/>
          <w:sz w:val="22"/>
          <w:szCs w:val="28"/>
          <w:rtl/>
        </w:rPr>
        <w:t>"</w:t>
      </w:r>
      <w:r w:rsidRPr="007F5756">
        <w:rPr>
          <w:rFonts w:ascii="Arial TUR" w:hAnsi="Arial TUR" w:cs="FrankRuehl" w:hint="eastAsia"/>
          <w:spacing w:val="10"/>
          <w:sz w:val="22"/>
          <w:szCs w:val="28"/>
          <w:rtl/>
        </w:rPr>
        <w:t>ד</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נח</w:t>
      </w:r>
      <w:r w:rsidRPr="007F5756">
        <w:rPr>
          <w:rFonts w:ascii="Arial TUR" w:hAnsi="Arial TUR" w:cs="FrankRuehl"/>
          <w:spacing w:val="10"/>
          <w:sz w:val="22"/>
          <w:szCs w:val="28"/>
          <w:rtl/>
        </w:rPr>
        <w:t>(4) 247</w:t>
      </w:r>
      <w:r w:rsidRPr="007F5756">
        <w:rPr>
          <w:rFonts w:ascii="Arial TUR" w:hAnsi="Arial TUR" w:cs="FrankRuehl" w:hint="cs"/>
          <w:spacing w:val="10"/>
          <w:sz w:val="22"/>
          <w:szCs w:val="28"/>
          <w:rtl/>
        </w:rPr>
        <w:t>, 254ה'</w:t>
      </w:r>
      <w:r w:rsidRPr="007F5756">
        <w:rPr>
          <w:rFonts w:ascii="Arial TUR" w:hAnsi="Arial TUR" w:cs="FrankRuehl"/>
          <w:spacing w:val="10"/>
          <w:sz w:val="22"/>
          <w:szCs w:val="28"/>
          <w:rtl/>
        </w:rPr>
        <w:t xml:space="preserve"> (2004)</w:t>
      </w:r>
      <w:r w:rsidRPr="007F5756">
        <w:rPr>
          <w:rFonts w:ascii="Arial TUR" w:hAnsi="Arial TUR" w:cs="FrankRuehl" w:hint="cs"/>
          <w:spacing w:val="10"/>
          <w:sz w:val="22"/>
          <w:szCs w:val="28"/>
          <w:rtl/>
        </w:rPr>
        <w:t xml:space="preserve">).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hint="cs"/>
          <w:spacing w:val="10"/>
          <w:sz w:val="22"/>
          <w:szCs w:val="28"/>
          <w:rtl/>
        </w:rPr>
        <w:t>10.</w:t>
      </w:r>
      <w:r w:rsidRPr="007F5756">
        <w:rPr>
          <w:rFonts w:ascii="Arial TUR" w:hAnsi="Arial TUR" w:cs="FrankRuehl"/>
          <w:spacing w:val="10"/>
          <w:sz w:val="22"/>
          <w:szCs w:val="28"/>
          <w:rtl/>
        </w:rPr>
        <w:tab/>
      </w:r>
      <w:r w:rsidRPr="007F5756">
        <w:rPr>
          <w:rFonts w:ascii="Arial TUR" w:hAnsi="Arial TUR" w:cs="FrankRuehl" w:hint="cs"/>
          <w:spacing w:val="10"/>
          <w:sz w:val="22"/>
          <w:szCs w:val="28"/>
          <w:rtl/>
        </w:rPr>
        <w:t xml:space="preserve">סבורני כי כך הדבר, בשינויים המתחייבים, גם לעניין העבירה של הפרת אמונים. אם לא נאפשר במקרים המתאימים להביט על שורת מעשים שאינם מגבשים את העבירה כשלעצמם, כעל מכלול שהצטברותו מהווה הפרת אמונים </w:t>
      </w:r>
      <w:r w:rsidRPr="007F5756">
        <w:rPr>
          <w:rFonts w:ascii="Arial TUR" w:hAnsi="Arial TUR" w:cs="FrankRuehl"/>
          <w:spacing w:val="10"/>
          <w:sz w:val="22"/>
          <w:szCs w:val="28"/>
          <w:rtl/>
        </w:rPr>
        <w:t>–</w:t>
      </w:r>
      <w:r w:rsidRPr="007F5756">
        <w:rPr>
          <w:rFonts w:ascii="Arial TUR" w:hAnsi="Arial TUR" w:cs="FrankRuehl" w:hint="cs"/>
          <w:spacing w:val="10"/>
          <w:sz w:val="22"/>
          <w:szCs w:val="28"/>
          <w:rtl/>
        </w:rPr>
        <w:t xml:space="preserve"> אזי נוציא מגדרי העבירה מקרים אשר לפי תכליתה היא נועדה למנוע. אף אם פעולה פסולה מסוימת שביצע עובד הציבור במסגרת תפקידו אינה חוצה לבדה את הרף הפלילי, יש והחזרה על הפעולות וביצוען לאורך זמן הן שמביאות לפגיעה מהותית בערכים המוגנים על ידי העבירה. מבחינת טוהר המידות של עובדי הציבור, לא דומה עובד ציבור שמעד וביצע פעולה פסולה באופן חד-פעמי, לעובד ציבור שביצע פעולה כזו שוב ושוב במשך תקופה ארוכה. החזרה על המעשים והתמשכותם על פני זמן משליכה גם על התדמית של השירות הציבור בעיני הציבור, ויש בה כדי להעצים את הפגיעה בפעולתו התקינה של המִנהל.  </w:t>
      </w:r>
    </w:p>
    <w:p w:rsidR="00D865EA" w:rsidRPr="007F5756" w:rsidRDefault="00D865EA" w:rsidP="00D865EA">
      <w:pPr>
        <w:tabs>
          <w:tab w:val="left" w:pos="800"/>
        </w:tabs>
        <w:spacing w:line="360" w:lineRule="auto"/>
        <w:jc w:val="both"/>
        <w:rPr>
          <w:rFonts w:ascii="Century" w:hAnsi="Century" w:cs="Miriam"/>
          <w:b/>
          <w:sz w:val="22"/>
          <w:u w:val="single"/>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r w:rsidRPr="007F5756">
        <w:rPr>
          <w:rFonts w:ascii="Arial TUR" w:hAnsi="Arial TUR" w:cs="FrankRuehl" w:hint="cs"/>
          <w:spacing w:val="10"/>
          <w:sz w:val="22"/>
          <w:szCs w:val="28"/>
          <w:rtl/>
        </w:rPr>
        <w:t>ניקח מקרה שבו עובד ציבור מקבל מפלוני טובת הנאה בקשר לתפקידו בסכום זניח, כך שהאירוע, כשהוא עומד לבדו, אינו חוצה את הרף הפלילי. כעת הניחו שעובד הציבור ממשיך לקבל טובות הנאה בסכום דומה מאנשים שונים, בכל יום במשך שנים, עד שסכום הכספים המצטבר מגיע למאות אלפי שקלים ויותר. לא יעלה על הדעת מבחינת התכליו</w:t>
      </w:r>
      <w:r>
        <w:rPr>
          <w:rFonts w:ascii="Arial TUR" w:hAnsi="Arial TUR" w:cs="FrankRuehl" w:hint="cs"/>
          <w:spacing w:val="10"/>
          <w:sz w:val="22"/>
          <w:szCs w:val="28"/>
          <w:rtl/>
        </w:rPr>
        <w:t>ת של המשפט הפלילי והדין המהותי</w:t>
      </w:r>
      <w:r w:rsidRPr="007F5756">
        <w:rPr>
          <w:rFonts w:ascii="Arial TUR" w:hAnsi="Arial TUR" w:cs="FrankRuehl" w:hint="cs"/>
          <w:spacing w:val="10"/>
          <w:sz w:val="22"/>
          <w:szCs w:val="28"/>
          <w:rtl/>
        </w:rPr>
        <w:t>, כי במקרה כזה נאמר שבית המשפט אנוס להסתכל על כל אירוע בודד של קבלת טובת הנאה כשהוא לבדו, באופן שמתעלם מן התמונה הגדולה. הסתכלות כוללת כזו מתחייבת מתכליתה של העבירה, להיאבק בה</w:t>
      </w:r>
      <w:r>
        <w:rPr>
          <w:rFonts w:ascii="Arial TUR" w:hAnsi="Arial TUR" w:cs="FrankRuehl" w:hint="cs"/>
          <w:spacing w:val="10"/>
          <w:sz w:val="22"/>
          <w:szCs w:val="28"/>
          <w:rtl/>
        </w:rPr>
        <w:t>שחתה של השירות הציבורי. השחתה כ</w:t>
      </w:r>
      <w:r w:rsidRPr="007F5756">
        <w:rPr>
          <w:rFonts w:ascii="Arial TUR" w:hAnsi="Arial TUR" w:cs="FrankRuehl" w:hint="cs"/>
          <w:spacing w:val="10"/>
          <w:sz w:val="22"/>
          <w:szCs w:val="28"/>
          <w:rtl/>
        </w:rPr>
        <w:t>זו יכולה לבוא בצורה של דפוס התנהגות חוז</w:t>
      </w:r>
      <w:r>
        <w:rPr>
          <w:rFonts w:ascii="Arial TUR" w:hAnsi="Arial TUR" w:cs="FrankRuehl" w:hint="cs"/>
          <w:spacing w:val="10"/>
          <w:sz w:val="22"/>
          <w:szCs w:val="28"/>
          <w:rtl/>
        </w:rPr>
        <w:t>ר שעובד הציבור נוקט בו</w:t>
      </w:r>
      <w:r w:rsidRPr="007F5756">
        <w:rPr>
          <w:rFonts w:ascii="Arial TUR" w:hAnsi="Arial TUR" w:cs="FrankRuehl" w:hint="cs"/>
          <w:spacing w:val="10"/>
          <w:sz w:val="22"/>
          <w:szCs w:val="28"/>
          <w:rtl/>
        </w:rPr>
        <w:t>, כאשר הצטברות המעשים והתמ</w:t>
      </w:r>
      <w:r>
        <w:rPr>
          <w:rFonts w:ascii="Arial TUR" w:hAnsi="Arial TUR" w:cs="FrankRuehl" w:hint="cs"/>
          <w:spacing w:val="10"/>
          <w:sz w:val="22"/>
          <w:szCs w:val="28"/>
          <w:rtl/>
        </w:rPr>
        <w:t xml:space="preserve">שכותם מגבשת את הפן המחמיר </w:t>
      </w:r>
      <w:r w:rsidRPr="007F5756">
        <w:rPr>
          <w:rFonts w:ascii="Arial TUR" w:hAnsi="Arial TUR" w:cs="FrankRuehl" w:hint="cs"/>
          <w:spacing w:val="10"/>
          <w:sz w:val="22"/>
          <w:szCs w:val="28"/>
          <w:rtl/>
        </w:rPr>
        <w:t>הנ</w:t>
      </w:r>
      <w:r>
        <w:rPr>
          <w:rFonts w:ascii="Arial TUR" w:hAnsi="Arial TUR" w:cs="FrankRuehl" w:hint="cs"/>
          <w:spacing w:val="10"/>
          <w:sz w:val="22"/>
          <w:szCs w:val="28"/>
          <w:rtl/>
        </w:rPr>
        <w:t>וסף הנ</w:t>
      </w:r>
      <w:r w:rsidRPr="007F5756">
        <w:rPr>
          <w:rFonts w:ascii="Arial TUR" w:hAnsi="Arial TUR" w:cs="FrankRuehl" w:hint="cs"/>
          <w:spacing w:val="10"/>
          <w:sz w:val="22"/>
          <w:szCs w:val="28"/>
          <w:rtl/>
        </w:rPr>
        <w:t xml:space="preserve">דרש לשם הרשעה בהפרת אמונים.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r w:rsidRPr="007F5756">
        <w:rPr>
          <w:rFonts w:ascii="Arial TUR" w:hAnsi="Arial TUR" w:cs="FrankRuehl" w:hint="cs"/>
          <w:spacing w:val="10"/>
          <w:sz w:val="22"/>
          <w:szCs w:val="28"/>
          <w:rtl/>
        </w:rPr>
        <w:t xml:space="preserve">ההסתכלות הכוללת על מצבור מעשים כאמור, אינה מרחיבה את גבולות העבירה כפי שנקבעו בדין ובפסיקה. כאמור גבולות אלה בכל הנוגע להגדרת מעשה של הפרת אמונים, פורשו כפונקציה של פגיעה בערכים המוגנים. אופי המעשה הפוגע בערכים אלה אינו עשוי מקשה אחת. ההגדרה הרחבה של העבירה נועדה לתפוס את המגוון, באופן שלא יותיר מחוץ לתחומיה מעשים בעלי אופי פלילי, אשר החברה לא תוכל להתגונן </w:t>
      </w:r>
      <w:r w:rsidRPr="007F5756">
        <w:rPr>
          <w:rFonts w:ascii="Arial TUR" w:hAnsi="Arial TUR" w:cs="FrankRuehl" w:hint="cs"/>
          <w:spacing w:val="10"/>
          <w:sz w:val="22"/>
          <w:szCs w:val="28"/>
          <w:rtl/>
        </w:rPr>
        <w:lastRenderedPageBreak/>
        <w:t xml:space="preserve">מפניהם. הפסיקה הכירה </w:t>
      </w:r>
      <w:r>
        <w:rPr>
          <w:rFonts w:ascii="Arial TUR" w:hAnsi="Arial TUR" w:cs="FrankRuehl" w:hint="cs"/>
          <w:spacing w:val="10"/>
          <w:sz w:val="22"/>
          <w:szCs w:val="28"/>
          <w:rtl/>
        </w:rPr>
        <w:t xml:space="preserve">כאמור </w:t>
      </w:r>
      <w:r w:rsidRPr="007F5756">
        <w:rPr>
          <w:rFonts w:ascii="Arial TUR" w:hAnsi="Arial TUR" w:cs="FrankRuehl" w:hint="cs"/>
          <w:spacing w:val="10"/>
          <w:sz w:val="22"/>
          <w:szCs w:val="28"/>
          <w:rtl/>
        </w:rPr>
        <w:t xml:space="preserve">בכך שהתנהגות נמשכת של איש ציבור, המורכבת ממספר מעשים שונים, נכנסת בכללותה להגדרה זו. גם אם כל מעשה בנפרד אינו חוצה את הרף הפלילי, מקום שההתנהגות כולה מגבשת פגיעה מהותית בערכים המוגנים </w:t>
      </w:r>
      <w:r w:rsidRPr="007F5756">
        <w:rPr>
          <w:rFonts w:ascii="Arial TUR" w:hAnsi="Arial TUR" w:cs="FrankRuehl"/>
          <w:spacing w:val="10"/>
          <w:sz w:val="22"/>
          <w:szCs w:val="28"/>
          <w:rtl/>
        </w:rPr>
        <w:t>–</w:t>
      </w:r>
      <w:r w:rsidRPr="007F5756">
        <w:rPr>
          <w:rFonts w:ascii="Arial TUR" w:hAnsi="Arial TUR" w:cs="FrankRuehl" w:hint="cs"/>
          <w:spacing w:val="10"/>
          <w:sz w:val="22"/>
          <w:szCs w:val="28"/>
          <w:rtl/>
        </w:rPr>
        <w:t xml:space="preserve"> הרי שאין בכך הרחבה של גבולות העבירה הקיימים, אלא איתור של סוג התנהגות נוסף שנופל בתוכם. </w:t>
      </w:r>
      <w:proofErr w:type="spellStart"/>
      <w:r w:rsidRPr="007F5756">
        <w:rPr>
          <w:rFonts w:ascii="Arial TUR" w:hAnsi="Arial TUR" w:cs="FrankRuehl" w:hint="cs"/>
          <w:spacing w:val="10"/>
          <w:sz w:val="22"/>
          <w:szCs w:val="28"/>
          <w:rtl/>
        </w:rPr>
        <w:t>ודוקו</w:t>
      </w:r>
      <w:proofErr w:type="spellEnd"/>
      <w:r w:rsidRPr="007F5756">
        <w:rPr>
          <w:rFonts w:ascii="Arial TUR" w:hAnsi="Arial TUR" w:cs="FrankRuehl" w:hint="cs"/>
          <w:spacing w:val="10"/>
          <w:sz w:val="22"/>
          <w:szCs w:val="28"/>
          <w:rtl/>
        </w:rPr>
        <w:t xml:space="preserve">: לא עצם </w:t>
      </w:r>
      <w:r>
        <w:rPr>
          <w:rFonts w:ascii="Arial TUR" w:hAnsi="Arial TUR" w:cs="FrankRuehl" w:hint="cs"/>
          <w:spacing w:val="10"/>
          <w:sz w:val="22"/>
          <w:szCs w:val="28"/>
          <w:rtl/>
        </w:rPr>
        <w:t>הצבירה הופכת את המעשה לפלילי. ט</w:t>
      </w:r>
      <w:r w:rsidRPr="007F5756">
        <w:rPr>
          <w:rFonts w:ascii="Arial TUR" w:hAnsi="Arial TUR" w:cs="FrankRuehl" w:hint="cs"/>
          <w:spacing w:val="10"/>
          <w:sz w:val="22"/>
          <w:szCs w:val="28"/>
          <w:rtl/>
        </w:rPr>
        <w:t>ל</w:t>
      </w:r>
      <w:r>
        <w:rPr>
          <w:rFonts w:ascii="Arial TUR" w:hAnsi="Arial TUR" w:cs="FrankRuehl" w:hint="cs"/>
          <w:spacing w:val="10"/>
          <w:sz w:val="22"/>
          <w:szCs w:val="28"/>
          <w:rtl/>
        </w:rPr>
        <w:t>ו</w:t>
      </w:r>
      <w:r w:rsidRPr="007F5756">
        <w:rPr>
          <w:rFonts w:ascii="Arial TUR" w:hAnsi="Arial TUR" w:cs="FrankRuehl" w:hint="cs"/>
          <w:spacing w:val="10"/>
          <w:sz w:val="22"/>
          <w:szCs w:val="28"/>
          <w:rtl/>
        </w:rPr>
        <w:t xml:space="preserve"> דוגמת קצה של עובד ציבור המרים קול ואף צועק על איש מהציבור במסגרת תפקידו. הישנות המקרה לא תשפיע על פליליות העניין. אלא כשם שיש לבחון את המקרה הבודד על פי פגיעתו בערכים המוגנים, כך יש לנהוג לגבי דפוס ההתנהגות החוזר בכללותו. זאת, גם אם כל מעשה המרכיב את הדפוס האמור, אינו חוצה לבדו את הרף לעבירה פלילית.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Miriam" w:hAnsi="Miriam" w:cs="Miriam"/>
          <w:spacing w:val="10"/>
          <w:rtl/>
        </w:rPr>
      </w:pPr>
      <w:r w:rsidRPr="007F5756">
        <w:rPr>
          <w:rFonts w:ascii="Miriam" w:hAnsi="Miriam" w:cs="Miriam"/>
          <w:spacing w:val="10"/>
          <w:rtl/>
        </w:rPr>
        <w:tab/>
      </w:r>
      <w:r w:rsidRPr="007F5756">
        <w:rPr>
          <w:rFonts w:ascii="Miriam" w:hAnsi="Miriam" w:cs="Miriam" w:hint="cs"/>
          <w:spacing w:val="10"/>
          <w:rtl/>
        </w:rPr>
        <w:t>באילו מקרים ניתן לצבור מעשים יחד?</w:t>
      </w:r>
      <w:r w:rsidRPr="007F5756">
        <w:rPr>
          <w:rFonts w:ascii="Miriam" w:hAnsi="Miriam" w:cs="Miriam" w:hint="cs"/>
          <w:spacing w:val="10"/>
        </w:rPr>
        <w:t xml:space="preserve"> </w:t>
      </w:r>
      <w:r w:rsidRPr="007F5756">
        <w:rPr>
          <w:rFonts w:ascii="Miriam" w:hAnsi="Miriam" w:cs="Miriam"/>
          <w:spacing w:val="10"/>
          <w:rtl/>
        </w:rPr>
        <w:t xml:space="preserve">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hint="cs"/>
          <w:spacing w:val="10"/>
          <w:sz w:val="22"/>
          <w:szCs w:val="28"/>
          <w:rtl/>
        </w:rPr>
        <w:t>11.</w:t>
      </w:r>
      <w:r w:rsidRPr="007F5756">
        <w:rPr>
          <w:rFonts w:ascii="Arial TUR" w:hAnsi="Arial TUR" w:cs="FrankRuehl"/>
          <w:spacing w:val="10"/>
          <w:sz w:val="22"/>
          <w:szCs w:val="28"/>
          <w:rtl/>
        </w:rPr>
        <w:tab/>
      </w:r>
      <w:r w:rsidRPr="007F5756">
        <w:rPr>
          <w:rFonts w:ascii="Arial TUR" w:hAnsi="Arial TUR" w:cs="FrankRuehl" w:hint="cs"/>
          <w:spacing w:val="10"/>
          <w:sz w:val="22"/>
          <w:szCs w:val="28"/>
          <w:rtl/>
        </w:rPr>
        <w:t xml:space="preserve">בדיון שהתקיים לפנינו טען הסנגור כי גם אם יש מקום להחיל את תזת הצבירה לגבי הפרת אמונים, הרי שיש לעשות זאת רק במקרים שבהם קיים בין המעשים השונים קשר הדוק שהינו "פרי תכנית עבריינית". בכך, לטענתו, יש תשובה לפסקי הדין שהובאו קודם, ושבמסגרתם הורשעו עובדי ציבור בעבירה אחת של הפרת אמונים בגין מכלול מעשים שביצעו לאורך זמן. חברי השופט אלרון הבחין אף הוא בין המקרים שנידונו בפסיקה, אשר לדבריו "עסקו במספר פעולות שביצעו נאשמים לצורך השגת מטרת על אחת", ובין המקרה שלנו שבו "לא נטען וממילא גם לא הוכח כי הייתה למבקש 'תכנית על' אותה ביקש לקדם באמצעות הפעולות שביצע" (פסקאות 39-38 לחוות דעתו).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686700">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r w:rsidR="00686700" w:rsidRPr="007F5756">
        <w:rPr>
          <w:rFonts w:ascii="Arial TUR" w:hAnsi="Arial TUR" w:cs="FrankRuehl" w:hint="cs"/>
          <w:spacing w:val="10"/>
          <w:sz w:val="22"/>
          <w:szCs w:val="28"/>
          <w:rtl/>
        </w:rPr>
        <w:t xml:space="preserve">ואולם, לא מצאתי נימוק מדוע יוגבל השימוש בתזת הצבירה אך למקרה שבו המעשים קשורים זה לזה בדרך של "תכנית עבריינית" או "מטרת על אחת" דווקא. </w:t>
      </w:r>
      <w:proofErr w:type="spellStart"/>
      <w:r w:rsidR="00686700" w:rsidRPr="007F5756">
        <w:rPr>
          <w:rFonts w:ascii="Arial TUR" w:hAnsi="Arial TUR" w:cs="FrankRuehl" w:hint="cs"/>
          <w:spacing w:val="10"/>
          <w:sz w:val="22"/>
          <w:szCs w:val="28"/>
          <w:rtl/>
        </w:rPr>
        <w:t>ודוקו</w:t>
      </w:r>
      <w:proofErr w:type="spellEnd"/>
      <w:r w:rsidR="00686700" w:rsidRPr="007F5756">
        <w:rPr>
          <w:rFonts w:ascii="Arial TUR" w:hAnsi="Arial TUR" w:cs="FrankRuehl" w:hint="cs"/>
          <w:spacing w:val="10"/>
          <w:sz w:val="22"/>
          <w:szCs w:val="28"/>
          <w:rtl/>
        </w:rPr>
        <w:t>: המבחן של תכנית על או מטרה אחת עשוי להשתלב עם תזת הצבירה, אך כפי שעולה מהפסיקה הנוגעת להתעללות, לא מדובר בתנאי הכרחי ליישום התזה. דומה כי הסיבה המהותית לצרף יחד מעשים הקשורים זה לזה באופן האמור</w:t>
      </w:r>
      <w:r w:rsidR="00686700">
        <w:rPr>
          <w:rFonts w:ascii="Arial TUR" w:hAnsi="Arial TUR" w:cs="FrankRuehl" w:hint="cs"/>
          <w:spacing w:val="10"/>
          <w:sz w:val="22"/>
          <w:szCs w:val="28"/>
          <w:rtl/>
        </w:rPr>
        <w:t xml:space="preserve">, היא כי במקרים מעין אלה המעשים שביצע הנאשם אינם אלא חלקיו השונים של אותו שלם. </w:t>
      </w:r>
      <w:r w:rsidR="00686700" w:rsidRPr="007F5756">
        <w:rPr>
          <w:rFonts w:ascii="Arial TUR" w:hAnsi="Arial TUR" w:cs="FrankRuehl" w:hint="cs"/>
          <w:spacing w:val="10"/>
          <w:sz w:val="22"/>
          <w:szCs w:val="28"/>
          <w:rtl/>
        </w:rPr>
        <w:t xml:space="preserve">כאשר מדובר בחלקים המרכיבים שלם מסוים, ההצדקה לקבצם יחד נטועה ברצון לחשוף דבר-מה נוסף, שלא נגלה כאשר מסתכלים על כל חלק בנפרד. </w:t>
      </w:r>
      <w:r w:rsidRPr="007F5756">
        <w:rPr>
          <w:rFonts w:ascii="Arial TUR" w:hAnsi="Arial TUR" w:cs="FrankRuehl" w:hint="cs"/>
          <w:spacing w:val="10"/>
          <w:sz w:val="22"/>
          <w:szCs w:val="28"/>
          <w:rtl/>
        </w:rPr>
        <w:t xml:space="preserve">ההסתכלות על כל מעשה כשהוא עומד לבדו, במובן הזה, היא מלאכותית </w:t>
      </w:r>
      <w:r w:rsidRPr="007F5756">
        <w:rPr>
          <w:rFonts w:ascii="Arial TUR" w:hAnsi="Arial TUR" w:cs="FrankRuehl"/>
          <w:spacing w:val="10"/>
          <w:sz w:val="22"/>
          <w:szCs w:val="28"/>
          <w:rtl/>
        </w:rPr>
        <w:t>–</w:t>
      </w:r>
      <w:r w:rsidRPr="007F5756">
        <w:rPr>
          <w:rFonts w:ascii="Arial TUR" w:hAnsi="Arial TUR" w:cs="FrankRuehl" w:hint="cs"/>
          <w:spacing w:val="10"/>
          <w:sz w:val="22"/>
          <w:szCs w:val="28"/>
          <w:rtl/>
        </w:rPr>
        <w:t xml:space="preserve"> שכן היא גורעת ממהות העניין או אינה משקפת את סיפור המקרה כהווייתו (השוו: </w:t>
      </w:r>
      <w:r w:rsidRPr="007F5756">
        <w:rPr>
          <w:rFonts w:ascii="Arial TUR" w:hAnsi="Arial TUR" w:cs="FrankRuehl" w:hint="eastAsia"/>
          <w:spacing w:val="10"/>
          <w:sz w:val="22"/>
          <w:szCs w:val="28"/>
          <w:rtl/>
        </w:rPr>
        <w:t>ע</w:t>
      </w:r>
      <w:r w:rsidRPr="007F5756">
        <w:rPr>
          <w:rFonts w:ascii="Arial TUR" w:hAnsi="Arial TUR" w:cs="FrankRuehl"/>
          <w:spacing w:val="10"/>
          <w:sz w:val="22"/>
          <w:szCs w:val="28"/>
          <w:rtl/>
        </w:rPr>
        <w:t>"</w:t>
      </w:r>
      <w:r w:rsidRPr="007F5756">
        <w:rPr>
          <w:rFonts w:ascii="Arial TUR" w:hAnsi="Arial TUR" w:cs="FrankRuehl" w:hint="eastAsia"/>
          <w:spacing w:val="10"/>
          <w:sz w:val="22"/>
          <w:szCs w:val="28"/>
          <w:rtl/>
        </w:rPr>
        <w:t>פ</w:t>
      </w:r>
      <w:r w:rsidRPr="007F5756">
        <w:rPr>
          <w:rFonts w:ascii="Arial TUR" w:hAnsi="Arial TUR" w:cs="FrankRuehl"/>
          <w:spacing w:val="10"/>
          <w:sz w:val="22"/>
          <w:szCs w:val="28"/>
          <w:rtl/>
        </w:rPr>
        <w:t xml:space="preserve"> 1261/15 </w:t>
      </w:r>
      <w:r w:rsidRPr="007F5756">
        <w:rPr>
          <w:rFonts w:ascii="Miriam" w:hAnsi="Miriam" w:cs="Miriam"/>
          <w:spacing w:val="10"/>
          <w:rtl/>
        </w:rPr>
        <w:t>מדינת ישראל נ' דלאל</w:t>
      </w:r>
      <w:r w:rsidRPr="007F5756">
        <w:rPr>
          <w:rFonts w:ascii="Arial TUR" w:hAnsi="Arial TUR" w:cs="FrankRuehl" w:hint="cs"/>
          <w:spacing w:val="10"/>
          <w:sz w:val="22"/>
          <w:szCs w:val="28"/>
          <w:rtl/>
        </w:rPr>
        <w:t>, פסקה 22</w:t>
      </w:r>
      <w:r w:rsidRPr="007F5756">
        <w:rPr>
          <w:rFonts w:ascii="Arial TUR" w:hAnsi="Arial TUR" w:cs="FrankRuehl"/>
          <w:spacing w:val="10"/>
          <w:sz w:val="22"/>
          <w:szCs w:val="28"/>
          <w:rtl/>
        </w:rPr>
        <w:t xml:space="preserve"> (3.9.2015)‏</w:t>
      </w:r>
      <w:r w:rsidRPr="007F5756">
        <w:rPr>
          <w:rFonts w:ascii="Arial TUR" w:hAnsi="Arial TUR" w:cs="FrankRuehl" w:hint="cs"/>
          <w:spacing w:val="10"/>
          <w:sz w:val="22"/>
          <w:szCs w:val="28"/>
          <w:rtl/>
        </w:rPr>
        <w:t xml:space="preserve">; </w:t>
      </w:r>
      <w:proofErr w:type="spellStart"/>
      <w:r w:rsidRPr="007F5756">
        <w:rPr>
          <w:rFonts w:ascii="Arial TUR" w:hAnsi="Arial TUR" w:cs="FrankRuehl" w:hint="eastAsia"/>
          <w:spacing w:val="10"/>
          <w:sz w:val="22"/>
          <w:szCs w:val="28"/>
          <w:rtl/>
        </w:rPr>
        <w:t>דנ</w:t>
      </w:r>
      <w:r w:rsidRPr="007F5756">
        <w:rPr>
          <w:rFonts w:ascii="Arial TUR" w:hAnsi="Arial TUR" w:cs="FrankRuehl"/>
          <w:spacing w:val="10"/>
          <w:sz w:val="22"/>
          <w:szCs w:val="28"/>
          <w:rtl/>
        </w:rPr>
        <w:t>"</w:t>
      </w:r>
      <w:r w:rsidRPr="007F5756">
        <w:rPr>
          <w:rFonts w:ascii="Arial TUR" w:hAnsi="Arial TUR" w:cs="FrankRuehl" w:hint="eastAsia"/>
          <w:spacing w:val="10"/>
          <w:sz w:val="22"/>
          <w:szCs w:val="28"/>
          <w:rtl/>
        </w:rPr>
        <w:t>פ</w:t>
      </w:r>
      <w:proofErr w:type="spellEnd"/>
      <w:r w:rsidRPr="007F5756">
        <w:rPr>
          <w:rFonts w:ascii="Arial TUR" w:hAnsi="Arial TUR" w:cs="FrankRuehl"/>
          <w:spacing w:val="10"/>
          <w:sz w:val="22"/>
          <w:szCs w:val="28"/>
          <w:rtl/>
        </w:rPr>
        <w:t xml:space="preserve"> 4603/97 </w:t>
      </w:r>
      <w:r w:rsidRPr="007F5756">
        <w:rPr>
          <w:rFonts w:ascii="Century" w:hAnsi="Century" w:cs="Miriam" w:hint="eastAsia"/>
          <w:b/>
          <w:sz w:val="22"/>
          <w:rtl/>
        </w:rPr>
        <w:t>משולם</w:t>
      </w:r>
      <w:r w:rsidRPr="007F5756">
        <w:rPr>
          <w:rFonts w:ascii="Century" w:hAnsi="Century" w:cs="Miriam"/>
          <w:b/>
          <w:sz w:val="22"/>
          <w:rtl/>
        </w:rPr>
        <w:t xml:space="preserve"> </w:t>
      </w:r>
      <w:r w:rsidRPr="007F5756">
        <w:rPr>
          <w:rFonts w:ascii="Century" w:hAnsi="Century" w:cs="Miriam" w:hint="eastAsia"/>
          <w:b/>
          <w:sz w:val="22"/>
          <w:rtl/>
        </w:rPr>
        <w:t>נ</w:t>
      </w:r>
      <w:r w:rsidRPr="007F5756">
        <w:rPr>
          <w:rFonts w:ascii="Century" w:hAnsi="Century" w:cs="Miriam"/>
          <w:b/>
          <w:sz w:val="22"/>
          <w:rtl/>
        </w:rPr>
        <w:t xml:space="preserve">' </w:t>
      </w:r>
      <w:r w:rsidRPr="007F5756">
        <w:rPr>
          <w:rFonts w:ascii="Century" w:hAnsi="Century" w:cs="Miriam" w:hint="eastAsia"/>
          <w:b/>
          <w:sz w:val="22"/>
          <w:rtl/>
        </w:rPr>
        <w:t>מדינת</w:t>
      </w:r>
      <w:r w:rsidRPr="007F5756">
        <w:rPr>
          <w:rFonts w:ascii="Century" w:hAnsi="Century" w:cs="Miriam"/>
          <w:b/>
          <w:sz w:val="22"/>
          <w:rtl/>
        </w:rPr>
        <w:t xml:space="preserve"> </w:t>
      </w:r>
      <w:r w:rsidRPr="007F5756">
        <w:rPr>
          <w:rFonts w:ascii="Century" w:hAnsi="Century" w:cs="Miriam" w:hint="eastAsia"/>
          <w:b/>
          <w:sz w:val="22"/>
          <w:rtl/>
        </w:rPr>
        <w:t>ישראל</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פ</w:t>
      </w:r>
      <w:r w:rsidRPr="007F5756">
        <w:rPr>
          <w:rFonts w:ascii="Arial TUR" w:hAnsi="Arial TUR" w:cs="FrankRuehl"/>
          <w:spacing w:val="10"/>
          <w:sz w:val="22"/>
          <w:szCs w:val="28"/>
          <w:rtl/>
        </w:rPr>
        <w:t>"</w:t>
      </w:r>
      <w:r w:rsidRPr="007F5756">
        <w:rPr>
          <w:rFonts w:ascii="Arial TUR" w:hAnsi="Arial TUR" w:cs="FrankRuehl" w:hint="eastAsia"/>
          <w:spacing w:val="10"/>
          <w:sz w:val="22"/>
          <w:szCs w:val="28"/>
          <w:rtl/>
        </w:rPr>
        <w:t>ד</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נא</w:t>
      </w:r>
      <w:r w:rsidRPr="007F5756">
        <w:rPr>
          <w:rFonts w:ascii="Arial TUR" w:hAnsi="Arial TUR" w:cs="FrankRuehl"/>
          <w:spacing w:val="10"/>
          <w:sz w:val="22"/>
          <w:szCs w:val="28"/>
          <w:rtl/>
        </w:rPr>
        <w:t>(3) 160</w:t>
      </w:r>
      <w:r w:rsidRPr="007F5756">
        <w:rPr>
          <w:rFonts w:ascii="Arial TUR" w:hAnsi="Arial TUR" w:cs="FrankRuehl" w:hint="cs"/>
          <w:spacing w:val="10"/>
          <w:sz w:val="22"/>
          <w:szCs w:val="28"/>
          <w:rtl/>
        </w:rPr>
        <w:t>, 185ב'</w:t>
      </w:r>
      <w:r w:rsidRPr="007F5756">
        <w:rPr>
          <w:rFonts w:ascii="Arial TUR" w:hAnsi="Arial TUR" w:cs="FrankRuehl"/>
          <w:spacing w:val="10"/>
          <w:sz w:val="22"/>
          <w:szCs w:val="28"/>
          <w:rtl/>
        </w:rPr>
        <w:t xml:space="preserve"> (1998)</w:t>
      </w:r>
      <w:r w:rsidRPr="007F5756">
        <w:rPr>
          <w:rFonts w:ascii="Arial TUR" w:hAnsi="Arial TUR" w:cs="FrankRuehl" w:hint="cs"/>
          <w:spacing w:val="10"/>
          <w:sz w:val="22"/>
          <w:szCs w:val="28"/>
          <w:rtl/>
        </w:rPr>
        <w:t xml:space="preserve">). כך למשל, במקרה שנדון בעניין </w:t>
      </w:r>
      <w:r w:rsidRPr="007F5756">
        <w:rPr>
          <w:rFonts w:ascii="Miriam" w:hAnsi="Miriam" w:cs="Miriam"/>
          <w:spacing w:val="10"/>
          <w:rtl/>
        </w:rPr>
        <w:t>שבס</w:t>
      </w:r>
      <w:r w:rsidRPr="007F5756">
        <w:rPr>
          <w:rFonts w:ascii="Arial TUR" w:hAnsi="Arial TUR" w:cs="FrankRuehl" w:hint="cs"/>
          <w:spacing w:val="10"/>
          <w:sz w:val="22"/>
          <w:szCs w:val="28"/>
          <w:rtl/>
        </w:rPr>
        <w:t xml:space="preserve">, של עובד ציבור המקיים מספר פגישות ושיחות עם גורמים </w:t>
      </w:r>
      <w:r w:rsidR="00686700">
        <w:rPr>
          <w:rFonts w:ascii="Arial TUR" w:hAnsi="Arial TUR" w:cs="FrankRuehl"/>
          <w:spacing w:val="10"/>
          <w:sz w:val="22"/>
          <w:szCs w:val="28"/>
          <w:rtl/>
        </w:rPr>
        <w:br/>
      </w:r>
      <w:r w:rsidR="00686700">
        <w:rPr>
          <w:rFonts w:ascii="Arial TUR" w:hAnsi="Arial TUR" w:cs="FrankRuehl"/>
          <w:spacing w:val="10"/>
          <w:sz w:val="22"/>
          <w:szCs w:val="28"/>
          <w:rtl/>
        </w:rPr>
        <w:br/>
      </w:r>
      <w:r w:rsidRPr="007F5756">
        <w:rPr>
          <w:rFonts w:ascii="Arial TUR" w:hAnsi="Arial TUR" w:cs="FrankRuehl" w:hint="cs"/>
          <w:spacing w:val="10"/>
          <w:sz w:val="22"/>
          <w:szCs w:val="28"/>
          <w:rtl/>
        </w:rPr>
        <w:lastRenderedPageBreak/>
        <w:t>שונים במסגרת "תכנית על" לקדם פרויקט של מקורבים לו</w:t>
      </w:r>
      <w:r>
        <w:rPr>
          <w:rFonts w:ascii="Arial TUR" w:hAnsi="Arial TUR" w:cs="FrankRuehl" w:hint="cs"/>
          <w:spacing w:val="10"/>
          <w:sz w:val="22"/>
          <w:szCs w:val="28"/>
          <w:rtl/>
        </w:rPr>
        <w:t xml:space="preserve"> </w:t>
      </w:r>
      <w:r>
        <w:rPr>
          <w:rFonts w:ascii="Arial TUR" w:hAnsi="Arial TUR" w:cs="FrankRuehl"/>
          <w:spacing w:val="10"/>
          <w:sz w:val="22"/>
          <w:szCs w:val="28"/>
          <w:rtl/>
        </w:rPr>
        <w:t>–</w:t>
      </w:r>
      <w:r w:rsidRPr="007F5756">
        <w:rPr>
          <w:rFonts w:ascii="Arial TUR" w:hAnsi="Arial TUR" w:cs="FrankRuehl" w:hint="cs"/>
          <w:spacing w:val="10"/>
          <w:sz w:val="22"/>
          <w:szCs w:val="28"/>
          <w:rtl/>
        </w:rPr>
        <w:t xml:space="preserve"> אם נסתכל על כל פגישה ושיחה בנפרד, לא נוכל לעמוד על היקף העיסוק של עובד הציבור בקידום הפרויקט, וכנגזרת מכך על מידת הפסול שבמעשיו. ייתכן שאף לא נבין את ההקשר של המעשה הבודד, שיתגלה לנו רק בצירוף של כל המעשים. במובן הזה, ההסתכלות על כל חלק כשהוא עומד לבדו חוטאת לאמת</w:t>
      </w:r>
      <w:r>
        <w:rPr>
          <w:rFonts w:ascii="Arial TUR" w:hAnsi="Arial TUR" w:cs="FrankRuehl" w:hint="cs"/>
          <w:spacing w:val="10"/>
          <w:sz w:val="22"/>
          <w:szCs w:val="28"/>
          <w:rtl/>
        </w:rPr>
        <w:t>,</w:t>
      </w:r>
      <w:r w:rsidRPr="007F5756">
        <w:rPr>
          <w:rFonts w:ascii="Arial TUR" w:hAnsi="Arial TUR" w:cs="FrankRuehl" w:hint="cs"/>
          <w:spacing w:val="10"/>
          <w:sz w:val="22"/>
          <w:szCs w:val="28"/>
          <w:rtl/>
        </w:rPr>
        <w:t xml:space="preserve"> ומכאן ההצדקה לקבץ את המעשים יחד.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r w:rsidRPr="007F5756">
        <w:rPr>
          <w:rFonts w:ascii="Arial TUR" w:hAnsi="Arial TUR" w:cs="FrankRuehl" w:hint="cs"/>
          <w:spacing w:val="10"/>
          <w:sz w:val="22"/>
          <w:szCs w:val="28"/>
          <w:rtl/>
        </w:rPr>
        <w:t xml:space="preserve">הצדקה זו חלה גם במקרה הנדון לפנינו, המאופיין בדפוס התנהגות של חזרה על אותם מעשים פסולים לאורך זמן. יובהר, כי המעשים שצבירתם מתבקשת במקרה זה אינם בלתי-קשורים אחד לשני. לשם המחשה, לא מדובר בעובד ציבור שקיים בנקודת זמן כלשהי קשר אינטימי עם כפיפה, ובהזדמנות אחרת העביר דיווח נוכחות כוזב או שמסר מידע חסוי הקשור לעבודתו. מעשים כאלה על פניהם אינם מצטברים למכלול אחד, אלא הם בבחינת ערבוב מין </w:t>
      </w:r>
      <w:proofErr w:type="spellStart"/>
      <w:r w:rsidRPr="007F5756">
        <w:rPr>
          <w:rFonts w:ascii="Arial TUR" w:hAnsi="Arial TUR" w:cs="FrankRuehl" w:hint="cs"/>
          <w:spacing w:val="10"/>
          <w:sz w:val="22"/>
          <w:szCs w:val="28"/>
          <w:rtl/>
        </w:rPr>
        <w:t>בשאינו</w:t>
      </w:r>
      <w:proofErr w:type="spellEnd"/>
      <w:r w:rsidRPr="007F5756">
        <w:rPr>
          <w:rFonts w:ascii="Arial TUR" w:hAnsi="Arial TUR" w:cs="FrankRuehl" w:hint="cs"/>
          <w:spacing w:val="10"/>
          <w:sz w:val="22"/>
          <w:szCs w:val="28"/>
          <w:rtl/>
        </w:rPr>
        <w:t xml:space="preserve"> מינו. המדובר במקרנו בביצוע של מעשים בעלי מאפיינים דומים, המבטאים שיטה אחת, ש</w:t>
      </w:r>
      <w:r>
        <w:rPr>
          <w:rFonts w:ascii="Arial TUR" w:hAnsi="Arial TUR" w:cs="FrankRuehl" w:hint="cs"/>
          <w:spacing w:val="10"/>
          <w:sz w:val="22"/>
          <w:szCs w:val="28"/>
          <w:rtl/>
        </w:rPr>
        <w:t xml:space="preserve">בה </w:t>
      </w:r>
      <w:r w:rsidRPr="007F5756">
        <w:rPr>
          <w:rFonts w:ascii="Arial TUR" w:hAnsi="Arial TUR" w:cs="FrankRuehl" w:hint="cs"/>
          <w:spacing w:val="10"/>
          <w:sz w:val="22"/>
          <w:szCs w:val="28"/>
          <w:rtl/>
        </w:rPr>
        <w:t xml:space="preserve">נקט המבקש לאורך זמן. עובדה זו מביאה לכך שההסתכלות על כל פרשייה בענייננו, במנותק מקיומן של פרשיות נוספות, </w:t>
      </w:r>
      <w:r>
        <w:rPr>
          <w:rFonts w:ascii="Arial TUR" w:hAnsi="Arial TUR" w:cs="FrankRuehl" w:hint="cs"/>
          <w:spacing w:val="10"/>
          <w:sz w:val="22"/>
          <w:szCs w:val="28"/>
          <w:rtl/>
        </w:rPr>
        <w:t xml:space="preserve">חוטאת לאמת במובן הזה שהיא לא משקפת באופן מלא </w:t>
      </w:r>
      <w:r w:rsidRPr="007F5756">
        <w:rPr>
          <w:rFonts w:ascii="Arial TUR" w:hAnsi="Arial TUR" w:cs="FrankRuehl" w:hint="cs"/>
          <w:spacing w:val="10"/>
          <w:sz w:val="22"/>
          <w:szCs w:val="28"/>
          <w:rtl/>
        </w:rPr>
        <w:t xml:space="preserve">את הקושי הטמון </w:t>
      </w:r>
      <w:r>
        <w:rPr>
          <w:rFonts w:ascii="Arial TUR" w:hAnsi="Arial TUR" w:cs="FrankRuehl" w:hint="cs"/>
          <w:spacing w:val="10"/>
          <w:sz w:val="22"/>
          <w:szCs w:val="28"/>
          <w:rtl/>
        </w:rPr>
        <w:t xml:space="preserve">במעשיו של </w:t>
      </w:r>
      <w:r w:rsidRPr="007F5756">
        <w:rPr>
          <w:rFonts w:ascii="Arial TUR" w:hAnsi="Arial TUR" w:cs="FrankRuehl" w:hint="cs"/>
          <w:spacing w:val="10"/>
          <w:sz w:val="22"/>
          <w:szCs w:val="28"/>
          <w:rtl/>
        </w:rPr>
        <w:t xml:space="preserve">המבקש. לא הרי עובד ציבור שמעד וקיים קשר אסור עם כפיפה בהזדמנות אחת, כמי שקיים קשרים כאלה או ניסה לקיימם לגבי שמונה כפיפות. לא הרי מי שביצע פעולה אחת בניגוד עניינים הנוגעת לכפיפה שקיים </w:t>
      </w:r>
      <w:proofErr w:type="spellStart"/>
      <w:r w:rsidRPr="007F5756">
        <w:rPr>
          <w:rFonts w:ascii="Arial TUR" w:hAnsi="Arial TUR" w:cs="FrankRuehl" w:hint="cs"/>
          <w:spacing w:val="10"/>
          <w:sz w:val="22"/>
          <w:szCs w:val="28"/>
          <w:rtl/>
        </w:rPr>
        <w:t>עימה</w:t>
      </w:r>
      <w:proofErr w:type="spellEnd"/>
      <w:r w:rsidRPr="007F5756">
        <w:rPr>
          <w:rFonts w:ascii="Arial TUR" w:hAnsi="Arial TUR" w:cs="FrankRuehl" w:hint="cs"/>
          <w:spacing w:val="10"/>
          <w:sz w:val="22"/>
          <w:szCs w:val="28"/>
          <w:rtl/>
        </w:rPr>
        <w:t xml:space="preserve"> קשר אינטימי, כמי שביצע שש פעולות כאלו </w:t>
      </w:r>
      <w:r w:rsidRPr="007F5756">
        <w:rPr>
          <w:rFonts w:ascii="Arial TUR" w:hAnsi="Arial TUR" w:cs="FrankRuehl"/>
          <w:spacing w:val="10"/>
          <w:sz w:val="22"/>
          <w:szCs w:val="28"/>
          <w:rtl/>
        </w:rPr>
        <w:t>–</w:t>
      </w:r>
      <w:r w:rsidRPr="007F5756">
        <w:rPr>
          <w:rFonts w:ascii="Arial TUR" w:hAnsi="Arial TUR" w:cs="FrankRuehl" w:hint="cs"/>
          <w:spacing w:val="10"/>
          <w:sz w:val="22"/>
          <w:szCs w:val="28"/>
          <w:rtl/>
        </w:rPr>
        <w:t xml:space="preserve"> וכל זאת שוב ושוב במשך חמש שנים. מכאן, כי גם אם נאמר שמעשיו של המבקש לא נועדו לקדם מטר</w:t>
      </w:r>
      <w:r>
        <w:rPr>
          <w:rFonts w:ascii="Arial TUR" w:hAnsi="Arial TUR" w:cs="FrankRuehl" w:hint="cs"/>
          <w:spacing w:val="10"/>
          <w:sz w:val="22"/>
          <w:szCs w:val="28"/>
          <w:rtl/>
        </w:rPr>
        <w:t xml:space="preserve">ת-על </w:t>
      </w:r>
      <w:r w:rsidRPr="007F5756">
        <w:rPr>
          <w:rFonts w:ascii="Arial TUR" w:hAnsi="Arial TUR" w:cs="FrankRuehl" w:hint="cs"/>
          <w:spacing w:val="10"/>
          <w:sz w:val="22"/>
          <w:szCs w:val="28"/>
          <w:rtl/>
        </w:rPr>
        <w:t xml:space="preserve">אחת, הם עדיין חלק מאותו שלם במובן הזה שההסתכלות עליהם כמכלול חושפת תמונה שלא נגלית לנו כשבוחנים כל מעשה לבדו. תמונה זו מציגה לנו שיטה אחת, של מיזוג בין יחסים אינטימיים עם כפיפות לבין עיסוק בתנאי השירות שלהן, שפיתח והפעיל המבקש לאורך שנים. הסתכלות זו על המעשים כמכלול, מאפשרת לנו להעריך נכונה את היקף ועוצמת הפגיעה שנגרמה באירוע הנדון לערכים המוגנים על ידי העבירה.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hint="cs"/>
          <w:spacing w:val="10"/>
          <w:sz w:val="22"/>
          <w:szCs w:val="28"/>
          <w:rtl/>
        </w:rPr>
        <w:t xml:space="preserve"> </w:t>
      </w:r>
    </w:p>
    <w:p w:rsidR="00D865EA" w:rsidRPr="007F5756" w:rsidRDefault="00D865EA" w:rsidP="00686700">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r w:rsidRPr="007F5756">
        <w:rPr>
          <w:rFonts w:ascii="Arial TUR" w:hAnsi="Arial TUR" w:cs="FrankRuehl" w:hint="cs"/>
          <w:spacing w:val="10"/>
          <w:sz w:val="22"/>
          <w:szCs w:val="28"/>
          <w:rtl/>
        </w:rPr>
        <w:t>יוזכר כי חברי השופט אלרון העניק רשות ערעור בשאלה, האם ניתן לצבור מעשים שבוצעו במסגרת "דפוס התנהגות חוזר ונשנה". על שאלה זו יש לענות אפוא בחיוב גם אם לא קדמה לדפוס ההתנהגות האמור תכנית עבריינית או מטרת</w:t>
      </w:r>
      <w:r>
        <w:rPr>
          <w:rFonts w:ascii="Arial TUR" w:hAnsi="Arial TUR" w:cs="FrankRuehl" w:hint="cs"/>
          <w:spacing w:val="10"/>
          <w:sz w:val="22"/>
          <w:szCs w:val="28"/>
          <w:rtl/>
        </w:rPr>
        <w:t>-</w:t>
      </w:r>
      <w:r w:rsidRPr="007F5756">
        <w:rPr>
          <w:rFonts w:ascii="Arial TUR" w:hAnsi="Arial TUR" w:cs="FrankRuehl" w:hint="cs"/>
          <w:spacing w:val="10"/>
          <w:sz w:val="22"/>
          <w:szCs w:val="28"/>
          <w:rtl/>
        </w:rPr>
        <w:t xml:space="preserve">על אחת. רוצה לומר, הנאשם במצב כזה אינו חייב לקשור קשר עם עצמו טרם המעשים כדי שיהיה ניתן להרשיעו בהפרת אמונים. ישנן עבירות שמתבצעות תוך כדי התפתחות. כמובן שככל עבירה יש לבחון את המחשבה הפלילית של הנאשם, אך לא נדרש כי הוא יגבש מראש, בעת ביצוע המעשה הראשון, את ביצועם של כל המעשים שנעשו בהמשך. נפנה שוב לדוגמה של האב המתעלל בבתו, דרך מעשים שונים שביצע כלפיה במשך שנתיים. </w:t>
      </w:r>
      <w:r w:rsidRPr="007F5756">
        <w:rPr>
          <w:rFonts w:ascii="Arial TUR" w:hAnsi="Arial TUR" w:cs="FrankRuehl" w:hint="cs"/>
          <w:spacing w:val="10"/>
          <w:sz w:val="22"/>
          <w:szCs w:val="28"/>
          <w:rtl/>
        </w:rPr>
        <w:lastRenderedPageBreak/>
        <w:t xml:space="preserve">במקרה כזה אין לדעת ואין זה משנה אם ביום הראשון שבו ביצע האב את המעשים, הוא התכוון להמשיך בהתנהגותו האמורה לאורך תקופה. גם במקרה של המבקש, אין זה משנה אם קיום הקשרים האינטימיים האסורים או ביצוע הפעולות בניגוד עניינים, נעשו כחלק מתוכנית-על כלשהי שהייתה בתוקף מהיום הראשון. החשוב הוא שהמעשים היו קשורים זה לזה באופן המצדיק, בראי תכליות העבירה, להסתכל עליהם כמכלול אחד.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hint="cs"/>
          <w:spacing w:val="10"/>
          <w:sz w:val="22"/>
          <w:szCs w:val="28"/>
          <w:rtl/>
        </w:rPr>
        <w:t>12.</w:t>
      </w:r>
      <w:r w:rsidRPr="007F5756">
        <w:rPr>
          <w:rFonts w:ascii="Arial TUR" w:hAnsi="Arial TUR" w:cs="FrankRuehl"/>
          <w:spacing w:val="10"/>
          <w:sz w:val="22"/>
          <w:szCs w:val="28"/>
          <w:rtl/>
        </w:rPr>
        <w:tab/>
      </w:r>
      <w:r w:rsidRPr="007F5756">
        <w:rPr>
          <w:rFonts w:ascii="Arial TUR" w:hAnsi="Arial TUR" w:cs="FrankRuehl" w:hint="cs"/>
          <w:spacing w:val="10"/>
          <w:sz w:val="22"/>
          <w:szCs w:val="28"/>
          <w:rtl/>
        </w:rPr>
        <w:t>עניין זה מתקשר לליבת הטענה המרכזית נגד תזת הצבירה, ודורש הבהרה אנליטית-עיונית נוספת. נשאלת השאלה ביחס ליישומה של תזת הצבירה בענייננו: כיצד ייתכן שמעשה שאינו פלילי שביצע המבקש, כאשר הוא מצטרף למעשה נוסף שאינו פלילי</w:t>
      </w:r>
      <w:r>
        <w:rPr>
          <w:rFonts w:ascii="Arial TUR" w:hAnsi="Arial TUR" w:cs="FrankRuehl" w:hint="cs"/>
          <w:spacing w:val="10"/>
          <w:sz w:val="22"/>
          <w:szCs w:val="28"/>
          <w:rtl/>
        </w:rPr>
        <w:t xml:space="preserve"> או למספר מעשים כאלו</w:t>
      </w:r>
      <w:r w:rsidRPr="007F5756">
        <w:rPr>
          <w:rFonts w:ascii="Arial TUR" w:hAnsi="Arial TUR" w:cs="FrankRuehl" w:hint="cs"/>
          <w:spacing w:val="10"/>
          <w:sz w:val="22"/>
          <w:szCs w:val="28"/>
          <w:rtl/>
        </w:rPr>
        <w:t xml:space="preserve"> </w:t>
      </w:r>
      <w:r w:rsidRPr="007F5756">
        <w:rPr>
          <w:rFonts w:ascii="Arial TUR" w:hAnsi="Arial TUR" w:cs="FrankRuehl"/>
          <w:spacing w:val="10"/>
          <w:sz w:val="22"/>
          <w:szCs w:val="28"/>
          <w:rtl/>
        </w:rPr>
        <w:t>–</w:t>
      </w:r>
      <w:r w:rsidRPr="007F5756">
        <w:rPr>
          <w:rFonts w:ascii="Arial TUR" w:hAnsi="Arial TUR" w:cs="FrankRuehl" w:hint="cs"/>
          <w:spacing w:val="10"/>
          <w:sz w:val="22"/>
          <w:szCs w:val="28"/>
          <w:rtl/>
        </w:rPr>
        <w:t xml:space="preserve"> הופך לפתע לחלק ממצ</w:t>
      </w:r>
      <w:r>
        <w:rPr>
          <w:rFonts w:ascii="Arial TUR" w:hAnsi="Arial TUR" w:cs="FrankRuehl" w:hint="cs"/>
          <w:spacing w:val="10"/>
          <w:sz w:val="22"/>
          <w:szCs w:val="28"/>
          <w:rtl/>
        </w:rPr>
        <w:t>בור פלילי. במונחים מתמטיים אפשר</w:t>
      </w:r>
      <w:r w:rsidRPr="007F5756">
        <w:rPr>
          <w:rFonts w:ascii="Arial TUR" w:hAnsi="Arial TUR" w:cs="FrankRuehl" w:hint="cs"/>
          <w:spacing w:val="10"/>
          <w:sz w:val="22"/>
          <w:szCs w:val="28"/>
          <w:rtl/>
        </w:rPr>
        <w:t xml:space="preserve"> אולי לשאול, איך זה ש-0 ועוד 0 מצמיח 1? </w:t>
      </w:r>
    </w:p>
    <w:p w:rsidR="00892B63" w:rsidRPr="007F5756" w:rsidRDefault="00892B63" w:rsidP="00D865EA">
      <w:pPr>
        <w:tabs>
          <w:tab w:val="left" w:pos="800"/>
        </w:tabs>
        <w:spacing w:line="360" w:lineRule="auto"/>
        <w:jc w:val="both"/>
        <w:rPr>
          <w:rFonts w:ascii="Arial TUR" w:hAnsi="Arial TUR" w:cs="FrankRuehl"/>
          <w:spacing w:val="10"/>
          <w:sz w:val="22"/>
          <w:szCs w:val="28"/>
          <w:rtl/>
        </w:rPr>
      </w:pPr>
    </w:p>
    <w:p w:rsidR="00D865EA" w:rsidRDefault="00D865EA" w:rsidP="00D865EA">
      <w:pPr>
        <w:tabs>
          <w:tab w:val="left" w:pos="800"/>
        </w:tabs>
        <w:spacing w:line="360" w:lineRule="auto"/>
        <w:jc w:val="both"/>
        <w:rPr>
          <w:rFonts w:ascii="Arial TUR" w:hAnsi="Arial TUR" w:cs="FrankRuehl"/>
          <w:spacing w:val="10"/>
          <w:sz w:val="22"/>
          <w:szCs w:val="28"/>
          <w:rtl/>
        </w:rPr>
      </w:pPr>
      <w:r>
        <w:rPr>
          <w:rFonts w:ascii="Arial TUR" w:hAnsi="Arial TUR" w:cs="FrankRuehl"/>
          <w:spacing w:val="10"/>
          <w:sz w:val="22"/>
          <w:szCs w:val="28"/>
          <w:rtl/>
        </w:rPr>
        <w:tab/>
      </w:r>
      <w:r>
        <w:rPr>
          <w:rFonts w:ascii="Arial TUR" w:hAnsi="Arial TUR" w:cs="FrankRuehl" w:hint="cs"/>
          <w:spacing w:val="10"/>
          <w:sz w:val="22"/>
          <w:szCs w:val="28"/>
          <w:rtl/>
        </w:rPr>
        <w:t xml:space="preserve">לנוכח הערתה היפה של חברתי השופטת </w:t>
      </w:r>
      <w:r w:rsidRPr="0056280D">
        <w:rPr>
          <w:rFonts w:ascii="Century" w:hAnsi="Century" w:cs="Miriam" w:hint="cs"/>
          <w:b/>
          <w:sz w:val="22"/>
          <w:rtl/>
        </w:rPr>
        <w:t>י' וילנר</w:t>
      </w:r>
      <w:r>
        <w:rPr>
          <w:rFonts w:ascii="Arial TUR" w:hAnsi="Arial TUR" w:cs="FrankRuehl" w:hint="cs"/>
          <w:spacing w:val="10"/>
          <w:sz w:val="22"/>
          <w:szCs w:val="28"/>
          <w:rtl/>
        </w:rPr>
        <w:t xml:space="preserve">, המדמה את </w:t>
      </w:r>
      <w:proofErr w:type="spellStart"/>
      <w:r>
        <w:rPr>
          <w:rFonts w:ascii="Arial TUR" w:hAnsi="Arial TUR" w:cs="FrankRuehl" w:hint="cs"/>
          <w:spacing w:val="10"/>
          <w:sz w:val="22"/>
          <w:szCs w:val="28"/>
          <w:rtl/>
        </w:rPr>
        <w:t>פרקטיקת</w:t>
      </w:r>
      <w:proofErr w:type="spellEnd"/>
      <w:r>
        <w:rPr>
          <w:rFonts w:ascii="Arial TUR" w:hAnsi="Arial TUR" w:cs="FrankRuehl" w:hint="cs"/>
          <w:spacing w:val="10"/>
          <w:sz w:val="22"/>
          <w:szCs w:val="28"/>
          <w:rtl/>
        </w:rPr>
        <w:t xml:space="preserve"> הצבירה למגדל קוביות, ארשה לעצמי להמחיש את העניין דרך הדוגמה של "פרדוקס הערימה". </w:t>
      </w:r>
      <w:r>
        <w:rPr>
          <w:rFonts w:ascii="Arial TUR" w:hAnsi="Arial TUR" w:cs="FrankRuehl"/>
          <w:spacing w:val="10"/>
          <w:sz w:val="22"/>
          <w:szCs w:val="28"/>
          <w:rtl/>
        </w:rPr>
        <w:t xml:space="preserve">נניח </w:t>
      </w:r>
      <w:r>
        <w:rPr>
          <w:rFonts w:ascii="Arial TUR" w:hAnsi="Arial TUR" w:cs="FrankRuehl" w:hint="cs"/>
          <w:spacing w:val="10"/>
          <w:sz w:val="22"/>
          <w:szCs w:val="28"/>
          <w:rtl/>
        </w:rPr>
        <w:t xml:space="preserve">כי קיים </w:t>
      </w:r>
      <w:r w:rsidRPr="0017747D">
        <w:rPr>
          <w:rFonts w:ascii="Arial TUR" w:hAnsi="Arial TUR" w:cs="FrankRuehl"/>
          <w:spacing w:val="10"/>
          <w:sz w:val="22"/>
          <w:szCs w:val="28"/>
          <w:rtl/>
        </w:rPr>
        <w:t>איסור פלילי ל</w:t>
      </w:r>
      <w:r>
        <w:rPr>
          <w:rFonts w:ascii="Arial TUR" w:hAnsi="Arial TUR" w:cs="FrankRuehl" w:hint="cs"/>
          <w:spacing w:val="10"/>
          <w:sz w:val="22"/>
          <w:szCs w:val="28"/>
          <w:rtl/>
        </w:rPr>
        <w:t>הניח</w:t>
      </w:r>
      <w:r>
        <w:rPr>
          <w:rFonts w:ascii="Arial TUR" w:hAnsi="Arial TUR" w:cs="FrankRuehl"/>
          <w:spacing w:val="10"/>
          <w:sz w:val="22"/>
          <w:szCs w:val="28"/>
          <w:rtl/>
        </w:rPr>
        <w:t xml:space="preserve"> ערימת חול באמצע כביש ראשי</w:t>
      </w:r>
      <w:r>
        <w:rPr>
          <w:rFonts w:ascii="Arial TUR" w:hAnsi="Arial TUR" w:cs="FrankRuehl" w:hint="cs"/>
          <w:spacing w:val="10"/>
          <w:sz w:val="22"/>
          <w:szCs w:val="28"/>
          <w:rtl/>
        </w:rPr>
        <w:t>,</w:t>
      </w:r>
      <w:r w:rsidRPr="0017747D">
        <w:rPr>
          <w:rFonts w:ascii="Arial TUR" w:hAnsi="Arial TUR" w:cs="FrankRuehl"/>
          <w:spacing w:val="10"/>
          <w:sz w:val="22"/>
          <w:szCs w:val="28"/>
          <w:rtl/>
        </w:rPr>
        <w:t xml:space="preserve"> פעולה שיוצרת סכנה חמורה לעוברי הדרך</w:t>
      </w:r>
      <w:r>
        <w:rPr>
          <w:rFonts w:ascii="Arial TUR" w:hAnsi="Arial TUR" w:cs="FrankRuehl" w:hint="cs"/>
          <w:spacing w:val="10"/>
          <w:sz w:val="22"/>
          <w:szCs w:val="28"/>
          <w:rtl/>
        </w:rPr>
        <w:t xml:space="preserve"> או שהינה בניגוד לחוק עזר עירוני</w:t>
      </w:r>
      <w:r w:rsidRPr="0017747D">
        <w:rPr>
          <w:rFonts w:ascii="Arial TUR" w:hAnsi="Arial TUR" w:cs="FrankRuehl"/>
          <w:spacing w:val="10"/>
          <w:sz w:val="22"/>
          <w:szCs w:val="28"/>
          <w:rtl/>
        </w:rPr>
        <w:t xml:space="preserve">. הנחת גרגר חול אחד על הכביש בוודאי איננה </w:t>
      </w:r>
      <w:r>
        <w:rPr>
          <w:rFonts w:ascii="Arial TUR" w:hAnsi="Arial TUR" w:cs="FrankRuehl"/>
          <w:spacing w:val="10"/>
          <w:sz w:val="22"/>
          <w:szCs w:val="28"/>
          <w:rtl/>
        </w:rPr>
        <w:t>הנח</w:t>
      </w:r>
      <w:r>
        <w:rPr>
          <w:rFonts w:ascii="Arial TUR" w:hAnsi="Arial TUR" w:cs="FrankRuehl" w:hint="cs"/>
          <w:spacing w:val="10"/>
          <w:sz w:val="22"/>
          <w:szCs w:val="28"/>
          <w:rtl/>
        </w:rPr>
        <w:t>ת</w:t>
      </w:r>
      <w:r w:rsidRPr="0017747D">
        <w:rPr>
          <w:rFonts w:ascii="Arial TUR" w:hAnsi="Arial TUR" w:cs="FrankRuehl"/>
          <w:spacing w:val="10"/>
          <w:sz w:val="22"/>
          <w:szCs w:val="28"/>
          <w:rtl/>
        </w:rPr>
        <w:t xml:space="preserve"> ערימה, </w:t>
      </w:r>
      <w:r w:rsidRPr="0017747D">
        <w:rPr>
          <w:rFonts w:ascii="Arial TUR" w:hAnsi="Arial TUR" w:cs="FrankRuehl" w:hint="cs"/>
          <w:spacing w:val="10"/>
          <w:sz w:val="22"/>
          <w:szCs w:val="28"/>
          <w:rtl/>
        </w:rPr>
        <w:t>כך שפעולה זו מותרת מבחינת הדין הפלילי.</w:t>
      </w:r>
      <w:r w:rsidRPr="0017747D">
        <w:rPr>
          <w:rFonts w:asciiTheme="minorHAnsi" w:eastAsiaTheme="minorHAnsi" w:hAnsiTheme="minorHAnsi" w:cstheme="minorBidi"/>
          <w:sz w:val="22"/>
          <w:szCs w:val="22"/>
          <w:rtl/>
        </w:rPr>
        <w:t xml:space="preserve"> </w:t>
      </w:r>
      <w:r w:rsidRPr="0017747D">
        <w:rPr>
          <w:rFonts w:ascii="Arial TUR" w:hAnsi="Arial TUR" w:cs="FrankRuehl"/>
          <w:spacing w:val="10"/>
          <w:sz w:val="22"/>
          <w:szCs w:val="28"/>
          <w:rtl/>
        </w:rPr>
        <w:t>למרות זאת</w:t>
      </w:r>
      <w:r w:rsidRPr="0017747D">
        <w:rPr>
          <w:rFonts w:ascii="Arial TUR" w:hAnsi="Arial TUR" w:cs="FrankRuehl" w:hint="cs"/>
          <w:spacing w:val="10"/>
          <w:sz w:val="22"/>
          <w:szCs w:val="28"/>
          <w:rtl/>
        </w:rPr>
        <w:t xml:space="preserve">, </w:t>
      </w:r>
      <w:r>
        <w:rPr>
          <w:rFonts w:ascii="Arial TUR" w:hAnsi="Arial TUR" w:cs="FrankRuehl" w:hint="cs"/>
          <w:spacing w:val="10"/>
          <w:sz w:val="22"/>
          <w:szCs w:val="28"/>
          <w:rtl/>
        </w:rPr>
        <w:t xml:space="preserve">אם אדם יחזור על פעולה זו של הנחת גרגר אחד שוב ושוב, בשלב כלשהו </w:t>
      </w:r>
      <w:r>
        <w:rPr>
          <w:rFonts w:ascii="Arial TUR" w:hAnsi="Arial TUR" w:cs="FrankRuehl"/>
          <w:spacing w:val="10"/>
          <w:sz w:val="22"/>
          <w:szCs w:val="28"/>
          <w:rtl/>
        </w:rPr>
        <w:t>–</w:t>
      </w:r>
      <w:r>
        <w:rPr>
          <w:rFonts w:ascii="Arial TUR" w:hAnsi="Arial TUR" w:cs="FrankRuehl" w:hint="cs"/>
          <w:spacing w:val="10"/>
          <w:sz w:val="22"/>
          <w:szCs w:val="28"/>
          <w:rtl/>
        </w:rPr>
        <w:t xml:space="preserve"> כאשר יצטברו מספיק גרגרים על הכביש </w:t>
      </w:r>
      <w:r>
        <w:rPr>
          <w:rFonts w:ascii="Arial TUR" w:hAnsi="Arial TUR" w:cs="FrankRuehl"/>
          <w:spacing w:val="10"/>
          <w:sz w:val="22"/>
          <w:szCs w:val="28"/>
          <w:rtl/>
        </w:rPr>
        <w:t>–</w:t>
      </w:r>
      <w:r>
        <w:rPr>
          <w:rFonts w:ascii="Arial TUR" w:hAnsi="Arial TUR" w:cs="FrankRuehl" w:hint="cs"/>
          <w:spacing w:val="10"/>
          <w:sz w:val="22"/>
          <w:szCs w:val="28"/>
          <w:rtl/>
        </w:rPr>
        <w:t xml:space="preserve"> ניתן יהיה להרשיעו בהנחת ערימה. </w:t>
      </w:r>
      <w:r>
        <w:rPr>
          <w:rFonts w:ascii="Arial TUR" w:hAnsi="Arial TUR" w:cs="FrankRuehl"/>
          <w:spacing w:val="10"/>
          <w:sz w:val="22"/>
          <w:szCs w:val="28"/>
          <w:rtl/>
        </w:rPr>
        <w:t xml:space="preserve">אפשר </w:t>
      </w:r>
      <w:r w:rsidRPr="0017747D">
        <w:rPr>
          <w:rFonts w:ascii="Arial TUR" w:hAnsi="Arial TUR" w:cs="FrankRuehl"/>
          <w:spacing w:val="10"/>
          <w:sz w:val="22"/>
          <w:szCs w:val="28"/>
          <w:rtl/>
        </w:rPr>
        <w:t>להתחבט בשאלה מהו גרגר החול</w:t>
      </w:r>
      <w:r>
        <w:rPr>
          <w:rFonts w:ascii="Arial TUR" w:hAnsi="Arial TUR" w:cs="FrankRuehl" w:hint="cs"/>
          <w:spacing w:val="10"/>
          <w:sz w:val="22"/>
          <w:szCs w:val="28"/>
          <w:rtl/>
        </w:rPr>
        <w:t xml:space="preserve"> </w:t>
      </w:r>
      <w:r w:rsidRPr="0017747D">
        <w:rPr>
          <w:rFonts w:ascii="Arial TUR" w:hAnsi="Arial TUR" w:cs="FrankRuehl"/>
          <w:spacing w:val="10"/>
          <w:sz w:val="22"/>
          <w:szCs w:val="28"/>
          <w:rtl/>
        </w:rPr>
        <w:t>שהופך "לא ערימה" ל"ערימה", ואף לראות ב</w:t>
      </w:r>
      <w:r w:rsidRPr="0017747D">
        <w:rPr>
          <w:rFonts w:ascii="Arial TUR" w:hAnsi="Arial TUR" w:cs="FrankRuehl" w:hint="cs"/>
          <w:spacing w:val="10"/>
          <w:sz w:val="22"/>
          <w:szCs w:val="28"/>
          <w:rtl/>
        </w:rPr>
        <w:t xml:space="preserve">שאלה זו </w:t>
      </w:r>
      <w:r w:rsidRPr="0017747D">
        <w:rPr>
          <w:rFonts w:ascii="Arial TUR" w:hAnsi="Arial TUR" w:cs="FrankRuehl"/>
          <w:spacing w:val="10"/>
          <w:sz w:val="22"/>
          <w:szCs w:val="28"/>
          <w:rtl/>
        </w:rPr>
        <w:t>משום פרדוקס</w:t>
      </w:r>
      <w:r>
        <w:rPr>
          <w:rFonts w:ascii="Arial TUR" w:hAnsi="Arial TUR" w:cs="FrankRuehl" w:hint="cs"/>
          <w:spacing w:val="10"/>
          <w:sz w:val="22"/>
          <w:szCs w:val="28"/>
          <w:rtl/>
        </w:rPr>
        <w:t xml:space="preserve"> (ראו </w:t>
      </w:r>
      <w:r w:rsidRPr="003C2A72">
        <w:rPr>
          <w:rFonts w:ascii="Garamond" w:hAnsi="Garamond" w:cs="FrankRuehl"/>
          <w:spacing w:val="10"/>
          <w:sz w:val="22"/>
          <w:szCs w:val="28"/>
        </w:rPr>
        <w:t>Dominic</w:t>
      </w:r>
      <w:r>
        <w:rPr>
          <w:rFonts w:ascii="Garamond" w:hAnsi="Garamond" w:cs="FrankRuehl"/>
          <w:spacing w:val="10"/>
          <w:sz w:val="22"/>
          <w:szCs w:val="28"/>
        </w:rPr>
        <w:t xml:space="preserve"> Hyde</w:t>
      </w:r>
      <w:r w:rsidRPr="003C2A72">
        <w:rPr>
          <w:rFonts w:ascii="Garamond" w:hAnsi="Garamond" w:cs="FrankRuehl"/>
          <w:spacing w:val="10"/>
          <w:sz w:val="22"/>
          <w:szCs w:val="28"/>
        </w:rPr>
        <w:t xml:space="preserve"> </w:t>
      </w:r>
      <w:r>
        <w:rPr>
          <w:rFonts w:ascii="Garamond" w:hAnsi="Garamond" w:cs="FrankRuehl"/>
          <w:spacing w:val="10"/>
          <w:sz w:val="22"/>
          <w:szCs w:val="28"/>
        </w:rPr>
        <w:t>&amp;</w:t>
      </w:r>
      <w:r w:rsidRPr="003C2A72">
        <w:rPr>
          <w:rFonts w:ascii="Garamond" w:hAnsi="Garamond" w:cs="FrankRuehl"/>
          <w:spacing w:val="10"/>
          <w:sz w:val="22"/>
          <w:szCs w:val="28"/>
        </w:rPr>
        <w:t xml:space="preserve"> Diana </w:t>
      </w:r>
      <w:proofErr w:type="spellStart"/>
      <w:r w:rsidRPr="003C2A72">
        <w:rPr>
          <w:rFonts w:ascii="Garamond" w:hAnsi="Garamond" w:cs="FrankRuehl"/>
          <w:spacing w:val="10"/>
          <w:sz w:val="22"/>
          <w:szCs w:val="28"/>
        </w:rPr>
        <w:t>Raffman</w:t>
      </w:r>
      <w:proofErr w:type="spellEnd"/>
      <w:r w:rsidRPr="003C2A72">
        <w:rPr>
          <w:rFonts w:ascii="Garamond" w:hAnsi="Garamond" w:cs="FrankRuehl"/>
          <w:spacing w:val="10"/>
          <w:sz w:val="22"/>
          <w:szCs w:val="28"/>
        </w:rPr>
        <w:t xml:space="preserve">, </w:t>
      </w:r>
      <w:proofErr w:type="spellStart"/>
      <w:r>
        <w:rPr>
          <w:rFonts w:ascii="Garamond" w:hAnsi="Garamond" w:cs="FrankRuehl"/>
          <w:i/>
          <w:iCs/>
          <w:spacing w:val="10"/>
          <w:sz w:val="22"/>
          <w:szCs w:val="28"/>
        </w:rPr>
        <w:t>Sorites</w:t>
      </w:r>
      <w:proofErr w:type="spellEnd"/>
      <w:r>
        <w:rPr>
          <w:rFonts w:ascii="Garamond" w:hAnsi="Garamond" w:cs="FrankRuehl"/>
          <w:i/>
          <w:iCs/>
          <w:spacing w:val="10"/>
          <w:sz w:val="22"/>
          <w:szCs w:val="28"/>
        </w:rPr>
        <w:t xml:space="preserve"> Paradox</w:t>
      </w:r>
      <w:r w:rsidRPr="003C2A72">
        <w:rPr>
          <w:rFonts w:ascii="Garamond" w:hAnsi="Garamond" w:cs="FrankRuehl"/>
          <w:spacing w:val="10"/>
          <w:sz w:val="22"/>
          <w:szCs w:val="28"/>
        </w:rPr>
        <w:t>, </w:t>
      </w:r>
      <w:r w:rsidRPr="003C2A72">
        <w:rPr>
          <w:rFonts w:ascii="Garamond" w:hAnsi="Garamond" w:cs="FrankRuehl"/>
          <w:smallCaps/>
          <w:spacing w:val="10"/>
          <w:sz w:val="22"/>
          <w:szCs w:val="28"/>
        </w:rPr>
        <w:t>The Stanford Encyclopedia of Philosophy</w:t>
      </w:r>
      <w:r>
        <w:rPr>
          <w:rFonts w:ascii="Garamond" w:hAnsi="Garamond" w:cs="FrankRuehl"/>
          <w:smallCaps/>
          <w:spacing w:val="10"/>
          <w:sz w:val="22"/>
          <w:szCs w:val="28"/>
        </w:rPr>
        <w:t xml:space="preserve"> (2018)</w:t>
      </w:r>
      <w:r>
        <w:rPr>
          <w:rFonts w:ascii="Garamond" w:hAnsi="Garamond" w:cs="FrankRuehl"/>
          <w:spacing w:val="10"/>
          <w:sz w:val="22"/>
          <w:szCs w:val="28"/>
        </w:rPr>
        <w:t xml:space="preserve">: </w:t>
      </w:r>
      <w:r w:rsidRPr="003C2A72">
        <w:rPr>
          <w:rFonts w:ascii="Garamond" w:hAnsi="Garamond" w:cs="FrankRuehl"/>
          <w:spacing w:val="10"/>
          <w:sz w:val="22"/>
          <w:szCs w:val="28"/>
        </w:rPr>
        <w:t>https://plato.stanford.edu/archives/s</w:t>
      </w:r>
      <w:r>
        <w:rPr>
          <w:rFonts w:ascii="Garamond" w:hAnsi="Garamond" w:cs="FrankRuehl"/>
          <w:spacing w:val="10"/>
          <w:sz w:val="22"/>
          <w:szCs w:val="28"/>
        </w:rPr>
        <w:t>um2018/entries/sorites-paradox/</w:t>
      </w:r>
      <w:r w:rsidRPr="003C2A72">
        <w:rPr>
          <w:rFonts w:ascii="Garamond" w:hAnsi="Garamond" w:cs="FrankRuehl"/>
          <w:spacing w:val="10"/>
          <w:sz w:val="22"/>
          <w:szCs w:val="28"/>
        </w:rPr>
        <w:t>.</w:t>
      </w:r>
      <w:r>
        <w:rPr>
          <w:rFonts w:ascii="Arial TUR" w:hAnsi="Arial TUR" w:cs="FrankRuehl" w:hint="cs"/>
          <w:spacing w:val="10"/>
          <w:sz w:val="22"/>
          <w:szCs w:val="28"/>
          <w:rtl/>
        </w:rPr>
        <w:t>)</w:t>
      </w:r>
      <w:r w:rsidRPr="0017747D">
        <w:rPr>
          <w:rFonts w:ascii="Arial TUR" w:hAnsi="Arial TUR" w:cs="FrankRuehl"/>
          <w:spacing w:val="10"/>
          <w:sz w:val="22"/>
          <w:szCs w:val="28"/>
          <w:rtl/>
        </w:rPr>
        <w:t>. ברם, העיקר הוא שאין חולק על קיומן של ערימות חול, שהן תוצאת</w:t>
      </w:r>
      <w:r>
        <w:rPr>
          <w:rFonts w:ascii="Arial TUR" w:hAnsi="Arial TUR" w:cs="FrankRuehl"/>
          <w:spacing w:val="10"/>
          <w:sz w:val="22"/>
          <w:szCs w:val="28"/>
          <w:rtl/>
        </w:rPr>
        <w:t xml:space="preserve"> צירופם של </w:t>
      </w:r>
      <w:r>
        <w:rPr>
          <w:rFonts w:ascii="Arial TUR" w:hAnsi="Arial TUR" w:cs="FrankRuehl" w:hint="cs"/>
          <w:spacing w:val="10"/>
          <w:sz w:val="22"/>
          <w:szCs w:val="28"/>
          <w:rtl/>
        </w:rPr>
        <w:t xml:space="preserve">מספר </w:t>
      </w:r>
      <w:r>
        <w:rPr>
          <w:rFonts w:ascii="Arial TUR" w:hAnsi="Arial TUR" w:cs="FrankRuehl"/>
          <w:spacing w:val="10"/>
          <w:sz w:val="22"/>
          <w:szCs w:val="28"/>
          <w:rtl/>
        </w:rPr>
        <w:t>גרגרי</w:t>
      </w:r>
      <w:r>
        <w:rPr>
          <w:rFonts w:ascii="Arial TUR" w:hAnsi="Arial TUR" w:cs="FrankRuehl" w:hint="cs"/>
          <w:spacing w:val="10"/>
          <w:sz w:val="22"/>
          <w:szCs w:val="28"/>
          <w:rtl/>
        </w:rPr>
        <w:t>ם</w:t>
      </w:r>
      <w:r w:rsidRPr="0017747D">
        <w:rPr>
          <w:rFonts w:ascii="Arial TUR" w:hAnsi="Arial TUR" w:cs="FrankRuehl"/>
          <w:spacing w:val="10"/>
          <w:sz w:val="22"/>
          <w:szCs w:val="28"/>
          <w:rtl/>
        </w:rPr>
        <w:t xml:space="preserve">. </w:t>
      </w:r>
      <w:r>
        <w:rPr>
          <w:rFonts w:ascii="Arial TUR" w:hAnsi="Arial TUR" w:cs="FrankRuehl" w:hint="cs"/>
          <w:spacing w:val="10"/>
          <w:sz w:val="22"/>
          <w:szCs w:val="28"/>
          <w:rtl/>
        </w:rPr>
        <w:t xml:space="preserve">אנו לא נדרשים להכריע בשאלה התיאורטית מתי אוסף הגרגרים יהפוך לערימה, אלא בשאלה הקונקרטית האם האוסף שלפנינו הינו כבר "ערימה" (ראו והשוו: בג"ץ 2293/17 </w:t>
      </w:r>
      <w:proofErr w:type="spellStart"/>
      <w:r w:rsidRPr="00D970D9">
        <w:rPr>
          <w:rFonts w:ascii="Century" w:hAnsi="Century" w:cs="Miriam" w:hint="cs"/>
          <w:b/>
          <w:sz w:val="22"/>
          <w:rtl/>
        </w:rPr>
        <w:t>גרסגהר</w:t>
      </w:r>
      <w:proofErr w:type="spellEnd"/>
      <w:r w:rsidRPr="00D970D9">
        <w:rPr>
          <w:rFonts w:ascii="Century" w:hAnsi="Century" w:cs="Miriam" w:hint="cs"/>
          <w:b/>
          <w:sz w:val="22"/>
          <w:rtl/>
        </w:rPr>
        <w:t xml:space="preserve"> נ' הכנסת</w:t>
      </w:r>
      <w:r>
        <w:rPr>
          <w:rFonts w:ascii="Arial TUR" w:hAnsi="Arial TUR" w:cs="FrankRuehl" w:hint="cs"/>
          <w:spacing w:val="10"/>
          <w:sz w:val="22"/>
          <w:szCs w:val="28"/>
          <w:rtl/>
        </w:rPr>
        <w:t xml:space="preserve">, פסקה 3 לחוות דעתי (2.4.2020)). </w:t>
      </w:r>
      <w:r w:rsidRPr="0017747D">
        <w:rPr>
          <w:rFonts w:ascii="Arial TUR" w:hAnsi="Arial TUR" w:cs="FrankRuehl" w:hint="cs"/>
          <w:spacing w:val="10"/>
          <w:sz w:val="22"/>
          <w:szCs w:val="28"/>
          <w:rtl/>
        </w:rPr>
        <w:t>ניתן להשליך מאחד הפתרונות של פרדוקס הערימה גם למקרה שלנו. אמנם גרגר חול</w:t>
      </w:r>
      <w:r>
        <w:rPr>
          <w:rFonts w:ascii="Arial TUR" w:hAnsi="Arial TUR" w:cs="FrankRuehl" w:hint="cs"/>
          <w:spacing w:val="10"/>
          <w:sz w:val="22"/>
          <w:szCs w:val="28"/>
          <w:rtl/>
        </w:rPr>
        <w:t xml:space="preserve"> אחד איננו ערימה, אך הוא נושא בתוכו </w:t>
      </w:r>
      <w:r>
        <w:rPr>
          <w:rFonts w:ascii="Arial TUR" w:hAnsi="Arial TUR" w:cs="FrankRuehl"/>
          <w:spacing w:val="10"/>
          <w:sz w:val="22"/>
          <w:szCs w:val="28"/>
          <w:rtl/>
        </w:rPr>
        <w:t>–</w:t>
      </w:r>
      <w:r>
        <w:rPr>
          <w:rFonts w:ascii="Arial TUR" w:hAnsi="Arial TUR" w:cs="FrankRuehl" w:hint="cs"/>
          <w:spacing w:val="10"/>
          <w:sz w:val="22"/>
          <w:szCs w:val="28"/>
          <w:rtl/>
        </w:rPr>
        <w:t xml:space="preserve"> כבר מרגע הנחתו על הכביש </w:t>
      </w:r>
      <w:r>
        <w:rPr>
          <w:rFonts w:ascii="Arial TUR" w:hAnsi="Arial TUR" w:cs="FrankRuehl"/>
          <w:spacing w:val="10"/>
          <w:sz w:val="22"/>
          <w:szCs w:val="28"/>
          <w:rtl/>
        </w:rPr>
        <w:t>–</w:t>
      </w:r>
      <w:r w:rsidRPr="0017747D">
        <w:rPr>
          <w:rFonts w:ascii="Arial TUR" w:hAnsi="Arial TUR" w:cs="FrankRuehl" w:hint="cs"/>
          <w:spacing w:val="10"/>
          <w:sz w:val="22"/>
          <w:szCs w:val="28"/>
          <w:rtl/>
        </w:rPr>
        <w:t xml:space="preserve"> א</w:t>
      </w:r>
      <w:r>
        <w:rPr>
          <w:rFonts w:ascii="Arial TUR" w:hAnsi="Arial TUR" w:cs="FrankRuehl" w:hint="cs"/>
          <w:spacing w:val="10"/>
          <w:sz w:val="22"/>
          <w:szCs w:val="28"/>
          <w:rtl/>
        </w:rPr>
        <w:t>ת הפוטנציאל להפוך לחלק מערימה,</w:t>
      </w:r>
      <w:r w:rsidRPr="0017747D">
        <w:rPr>
          <w:rFonts w:ascii="Arial TUR" w:hAnsi="Arial TUR" w:cs="FrankRuehl" w:hint="cs"/>
          <w:spacing w:val="10"/>
          <w:sz w:val="22"/>
          <w:szCs w:val="28"/>
          <w:rtl/>
        </w:rPr>
        <w:t xml:space="preserve"> אם יתווספו </w:t>
      </w:r>
      <w:r>
        <w:rPr>
          <w:rFonts w:ascii="Arial TUR" w:hAnsi="Arial TUR" w:cs="FrankRuehl" w:hint="cs"/>
          <w:spacing w:val="10"/>
          <w:sz w:val="22"/>
          <w:szCs w:val="28"/>
          <w:rtl/>
        </w:rPr>
        <w:t xml:space="preserve">אליו </w:t>
      </w:r>
      <w:r w:rsidRPr="0017747D">
        <w:rPr>
          <w:rFonts w:ascii="Arial TUR" w:hAnsi="Arial TUR" w:cs="FrankRuehl" w:hint="cs"/>
          <w:spacing w:val="10"/>
          <w:sz w:val="22"/>
          <w:szCs w:val="28"/>
          <w:rtl/>
        </w:rPr>
        <w:t xml:space="preserve">בעתיד גרגרי חול נוספים. </w:t>
      </w:r>
      <w:r>
        <w:rPr>
          <w:rFonts w:ascii="Arial TUR" w:hAnsi="Arial TUR" w:cs="FrankRuehl" w:hint="cs"/>
          <w:spacing w:val="10"/>
          <w:sz w:val="22"/>
          <w:szCs w:val="28"/>
          <w:rtl/>
        </w:rPr>
        <w:t>במובן הזה, הגרגר הבודד אמנם לא ערימה, אך ניתן לראותו כשבריר-</w:t>
      </w:r>
      <w:r w:rsidRPr="0017747D">
        <w:rPr>
          <w:rFonts w:ascii="Arial TUR" w:hAnsi="Arial TUR" w:cs="FrankRuehl" w:hint="cs"/>
          <w:spacing w:val="10"/>
          <w:sz w:val="22"/>
          <w:szCs w:val="28"/>
          <w:rtl/>
        </w:rPr>
        <w:t>ערימה.</w:t>
      </w:r>
      <w:r>
        <w:rPr>
          <w:rFonts w:ascii="Arial TUR" w:hAnsi="Arial TUR" w:cs="FrankRuehl" w:hint="cs"/>
          <w:spacing w:val="10"/>
          <w:sz w:val="22"/>
          <w:szCs w:val="28"/>
          <w:rtl/>
        </w:rPr>
        <w:t xml:space="preserve"> הפיכתם של גרגרי חול רבים לערימה</w:t>
      </w:r>
      <w:r w:rsidRPr="0017747D">
        <w:rPr>
          <w:rFonts w:ascii="Arial TUR" w:hAnsi="Arial TUR" w:cs="FrankRuehl" w:hint="cs"/>
          <w:spacing w:val="10"/>
          <w:sz w:val="22"/>
          <w:szCs w:val="28"/>
          <w:rtl/>
        </w:rPr>
        <w:t xml:space="preserve"> אינה בגד</w:t>
      </w:r>
      <w:r>
        <w:rPr>
          <w:rFonts w:ascii="Arial TUR" w:hAnsi="Arial TUR" w:cs="FrankRuehl" w:hint="cs"/>
          <w:spacing w:val="10"/>
          <w:sz w:val="22"/>
          <w:szCs w:val="28"/>
          <w:rtl/>
        </w:rPr>
        <w:t xml:space="preserve">ר מאורע מפתיע או בלתי צפוי, אלא היא </w:t>
      </w:r>
      <w:r w:rsidRPr="0017747D">
        <w:rPr>
          <w:rFonts w:ascii="Arial TUR" w:hAnsi="Arial TUR" w:cs="FrankRuehl" w:hint="cs"/>
          <w:spacing w:val="10"/>
          <w:sz w:val="22"/>
          <w:szCs w:val="28"/>
          <w:rtl/>
        </w:rPr>
        <w:t xml:space="preserve">תוצאה </w:t>
      </w:r>
      <w:r>
        <w:rPr>
          <w:rFonts w:ascii="Arial TUR" w:hAnsi="Arial TUR" w:cs="FrankRuehl" w:hint="cs"/>
          <w:spacing w:val="10"/>
          <w:sz w:val="22"/>
          <w:szCs w:val="28"/>
          <w:rtl/>
        </w:rPr>
        <w:t>טבעית של צירוף מספר שברירי-ערימה</w:t>
      </w:r>
      <w:r w:rsidRPr="0017747D">
        <w:rPr>
          <w:rFonts w:ascii="Arial TUR" w:hAnsi="Arial TUR" w:cs="FrankRuehl" w:hint="cs"/>
          <w:spacing w:val="10"/>
          <w:sz w:val="22"/>
          <w:szCs w:val="28"/>
          <w:rtl/>
        </w:rPr>
        <w:t xml:space="preserve"> זה לזה.</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r>
        <w:rPr>
          <w:rFonts w:ascii="Arial TUR" w:hAnsi="Arial TUR" w:cs="FrankRuehl" w:hint="cs"/>
          <w:spacing w:val="10"/>
          <w:sz w:val="22"/>
          <w:szCs w:val="28"/>
          <w:rtl/>
        </w:rPr>
        <w:t xml:space="preserve">נחזור לשאלה, הכיצד ניתן כי מספר מעשים לא פליליים שביצע המבקש יצרו יחד מצבור פלילי, בגדר 0+0=1? </w:t>
      </w:r>
      <w:r w:rsidRPr="007F5756">
        <w:rPr>
          <w:rFonts w:ascii="Arial TUR" w:hAnsi="Arial TUR" w:cs="FrankRuehl" w:hint="cs"/>
          <w:spacing w:val="10"/>
          <w:sz w:val="22"/>
          <w:szCs w:val="28"/>
          <w:rtl/>
        </w:rPr>
        <w:t>ה</w:t>
      </w:r>
      <w:r>
        <w:rPr>
          <w:rFonts w:ascii="Arial TUR" w:hAnsi="Arial TUR" w:cs="FrankRuehl" w:hint="cs"/>
          <w:spacing w:val="10"/>
          <w:sz w:val="22"/>
          <w:szCs w:val="28"/>
          <w:rtl/>
        </w:rPr>
        <w:t>תשובה ה</w:t>
      </w:r>
      <w:r w:rsidRPr="007F5756">
        <w:rPr>
          <w:rFonts w:ascii="Arial TUR" w:hAnsi="Arial TUR" w:cs="FrankRuehl" w:hint="cs"/>
          <w:spacing w:val="10"/>
          <w:sz w:val="22"/>
          <w:szCs w:val="28"/>
          <w:rtl/>
        </w:rPr>
        <w:t>יא שכל מעשה שביצע המבקש אמנם, על-</w:t>
      </w:r>
      <w:r w:rsidRPr="007F5756">
        <w:rPr>
          <w:rFonts w:ascii="Arial TUR" w:hAnsi="Arial TUR" w:cs="FrankRuehl" w:hint="cs"/>
          <w:spacing w:val="10"/>
          <w:sz w:val="22"/>
          <w:szCs w:val="28"/>
          <w:rtl/>
        </w:rPr>
        <w:lastRenderedPageBreak/>
        <w:t xml:space="preserve">פי ההנחה, לא חצה את הרף הפלילי כשהוא לבדו, ובמובן הזה הוא לא שווה ל-1. ואולם, כל מעשה כזה, של קיום קשר אסור עם כפיפה או ביצוע פעולה בניגוד עניינים, הוא מעשה פסול אשר יש לו פוטנציאל להפוך לחלק ממצבור פלילי </w:t>
      </w:r>
      <w:r>
        <w:rPr>
          <w:rFonts w:ascii="Arial TUR" w:hAnsi="Arial TUR" w:cs="FrankRuehl" w:hint="cs"/>
          <w:spacing w:val="10"/>
          <w:sz w:val="22"/>
          <w:szCs w:val="28"/>
          <w:rtl/>
        </w:rPr>
        <w:t>המהווה</w:t>
      </w:r>
      <w:r w:rsidRPr="007F5756">
        <w:rPr>
          <w:rFonts w:ascii="Arial TUR" w:hAnsi="Arial TUR" w:cs="FrankRuehl" w:hint="cs"/>
          <w:spacing w:val="10"/>
          <w:sz w:val="22"/>
          <w:szCs w:val="28"/>
          <w:rtl/>
        </w:rPr>
        <w:t xml:space="preserve"> הפרת אמונים. במובן </w:t>
      </w:r>
      <w:r>
        <w:rPr>
          <w:rFonts w:ascii="Arial TUR" w:hAnsi="Arial TUR" w:cs="FrankRuehl" w:hint="cs"/>
          <w:spacing w:val="10"/>
          <w:sz w:val="22"/>
          <w:szCs w:val="28"/>
          <w:rtl/>
        </w:rPr>
        <w:t>הזה, המעשה הבודד גם לא שווה ל-0.</w:t>
      </w:r>
      <w:r w:rsidRPr="007F5756">
        <w:rPr>
          <w:rFonts w:ascii="Arial TUR" w:hAnsi="Arial TUR" w:cs="FrankRuehl" w:hint="cs"/>
          <w:spacing w:val="10"/>
          <w:sz w:val="22"/>
          <w:szCs w:val="28"/>
          <w:rtl/>
        </w:rPr>
        <w:t xml:space="preserve"> </w:t>
      </w:r>
      <w:r>
        <w:rPr>
          <w:rFonts w:ascii="Arial TUR" w:hAnsi="Arial TUR" w:cs="FrankRuehl" w:hint="cs"/>
          <w:spacing w:val="10"/>
          <w:sz w:val="22"/>
          <w:szCs w:val="28"/>
          <w:rtl/>
        </w:rPr>
        <w:t>ניתן לדמותו לגרגר חול שאינו מהווה לבדו ערימה, אך הוא בעל פוטנציאל להפוך לחלק ממנה.</w:t>
      </w:r>
      <w:r w:rsidRPr="007F5756">
        <w:rPr>
          <w:rFonts w:ascii="Arial TUR" w:hAnsi="Arial TUR" w:cs="FrankRuehl" w:hint="cs"/>
          <w:spacing w:val="10"/>
          <w:sz w:val="22"/>
          <w:szCs w:val="28"/>
          <w:rtl/>
        </w:rPr>
        <w:t xml:space="preserve"> </w:t>
      </w:r>
      <w:r>
        <w:rPr>
          <w:rFonts w:ascii="Arial TUR" w:hAnsi="Arial TUR" w:cs="FrankRuehl" w:hint="cs"/>
          <w:spacing w:val="10"/>
          <w:sz w:val="22"/>
          <w:szCs w:val="28"/>
          <w:rtl/>
        </w:rPr>
        <w:t>הדבר נעוץ בשילוב</w:t>
      </w:r>
      <w:r w:rsidRPr="007F5756">
        <w:rPr>
          <w:rFonts w:ascii="Arial TUR" w:hAnsi="Arial TUR" w:cs="FrankRuehl" w:hint="cs"/>
          <w:spacing w:val="10"/>
          <w:sz w:val="22"/>
          <w:szCs w:val="28"/>
          <w:rtl/>
        </w:rPr>
        <w:t xml:space="preserve"> של שני גורמים: הגורם הראשון הוא כאמור היותו של המעשה הבודד פסול, גם אם לא מבחינה פלילית אלא רק מבחינה משמעתית. הגורם השני הוא אופייה הייחודי של עבירת הפרת האמונים, שבמסגרתה קו הגבול בין התנהגות פסולה שאינה פלילית, ובין התנהגות דומה המגבשת את העבירה </w:t>
      </w:r>
      <w:r w:rsidRPr="007F5756">
        <w:rPr>
          <w:rFonts w:ascii="Arial TUR" w:hAnsi="Arial TUR" w:cs="FrankRuehl"/>
          <w:spacing w:val="10"/>
          <w:sz w:val="22"/>
          <w:szCs w:val="28"/>
          <w:rtl/>
        </w:rPr>
        <w:t>–</w:t>
      </w:r>
      <w:r w:rsidRPr="007F5756">
        <w:rPr>
          <w:rFonts w:ascii="Arial TUR" w:hAnsi="Arial TUR" w:cs="FrankRuehl" w:hint="cs"/>
          <w:spacing w:val="10"/>
          <w:sz w:val="22"/>
          <w:szCs w:val="28"/>
          <w:rtl/>
        </w:rPr>
        <w:t xml:space="preserve"> נקבע על פי מידת הפסול או חומרתה של ההתנהגות</w:t>
      </w:r>
      <w:r>
        <w:rPr>
          <w:rFonts w:ascii="Arial TUR" w:hAnsi="Arial TUR" w:cs="FrankRuehl" w:hint="cs"/>
          <w:spacing w:val="10"/>
          <w:sz w:val="22"/>
          <w:szCs w:val="28"/>
          <w:rtl/>
        </w:rPr>
        <w:t>,</w:t>
      </w:r>
      <w:r w:rsidRPr="007F5756">
        <w:rPr>
          <w:rFonts w:ascii="Arial TUR" w:hAnsi="Arial TUR" w:cs="FrankRuehl" w:hint="cs"/>
          <w:spacing w:val="10"/>
          <w:sz w:val="22"/>
          <w:szCs w:val="28"/>
          <w:rtl/>
        </w:rPr>
        <w:t xml:space="preserve"> בהתחשב בכלל נסיבות העניין. כאשר מעשה הוא פסול גם אם רק מבחינה משמעתית, וכאשר אותו מעשה יכול לחצות את הרף הפלילי ככל שיתווסף לו "פן מחמיר נוסף", יש והביצוע הנשנה של מעשים דומים</w:t>
      </w:r>
      <w:r>
        <w:rPr>
          <w:rFonts w:ascii="Arial TUR" w:hAnsi="Arial TUR" w:cs="FrankRuehl" w:hint="cs"/>
          <w:spacing w:val="10"/>
          <w:sz w:val="22"/>
          <w:szCs w:val="28"/>
          <w:rtl/>
        </w:rPr>
        <w:t xml:space="preserve"> </w:t>
      </w:r>
      <w:r>
        <w:rPr>
          <w:rFonts w:ascii="Arial TUR" w:hAnsi="Arial TUR" w:cs="FrankRuehl"/>
          <w:spacing w:val="10"/>
          <w:sz w:val="22"/>
          <w:szCs w:val="28"/>
          <w:rtl/>
        </w:rPr>
        <w:t>–</w:t>
      </w:r>
      <w:r w:rsidRPr="007F5756">
        <w:rPr>
          <w:rFonts w:ascii="Arial TUR" w:hAnsi="Arial TUR" w:cs="FrankRuehl" w:hint="cs"/>
          <w:spacing w:val="10"/>
          <w:sz w:val="22"/>
          <w:szCs w:val="28"/>
          <w:rtl/>
        </w:rPr>
        <w:t xml:space="preserve"> שהם בגדר שיטה אחת המוצדק להסתכל עליה כמכלול</w:t>
      </w:r>
      <w:r>
        <w:rPr>
          <w:rFonts w:ascii="Arial TUR" w:hAnsi="Arial TUR" w:cs="FrankRuehl" w:hint="cs"/>
          <w:spacing w:val="10"/>
          <w:sz w:val="22"/>
          <w:szCs w:val="28"/>
          <w:rtl/>
        </w:rPr>
        <w:t xml:space="preserve"> </w:t>
      </w:r>
      <w:r>
        <w:rPr>
          <w:rFonts w:ascii="Arial TUR" w:hAnsi="Arial TUR" w:cs="FrankRuehl"/>
          <w:spacing w:val="10"/>
          <w:sz w:val="22"/>
          <w:szCs w:val="28"/>
          <w:rtl/>
        </w:rPr>
        <w:t>–</w:t>
      </w:r>
      <w:r w:rsidRPr="007F5756">
        <w:rPr>
          <w:rFonts w:ascii="Arial TUR" w:hAnsi="Arial TUR" w:cs="FrankRuehl" w:hint="cs"/>
          <w:spacing w:val="10"/>
          <w:sz w:val="22"/>
          <w:szCs w:val="28"/>
          <w:rtl/>
        </w:rPr>
        <w:t xml:space="preserve"> הוא שמגבש את הפן המחמיר המעביר את האירוע כולו אל תוך המתחם הפלילי. נבהיר.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r w:rsidRPr="007F5756">
        <w:rPr>
          <w:rFonts w:ascii="Arial TUR" w:hAnsi="Arial TUR" w:cs="FrankRuehl" w:hint="cs"/>
          <w:spacing w:val="10"/>
          <w:sz w:val="22"/>
          <w:szCs w:val="28"/>
          <w:rtl/>
        </w:rPr>
        <w:t>בעניינו אין טענה כי כל מעשה שביצע המבקש אינו מעורר קושי, באופן המצדיק למשל העמדה לדין משמעתי בגינו. ביחס לקשרים האינטימיים שקיים עם כפיפות, המבקש אישר בעצמו בחקירתו כי הוא מודע לקיומו של איסור נורמטיבי בנושא (ראו עמ' 36 לפסק דינו של בית המשפט המחוזי וההפניות שם). איסור כזה מוטל גם על ביצוע פעולות בניגוד עניינים, כדוגמת אלה שביצע המבקש עת טיפל בבקשותיהן של השוטרות עמן קיים קשר אינטימי. כאמור פעולות פסולות מבחינה משמעתית יכולות לגבש עבירה של הפרת אמונים בהתקיים "פן מחמיר נוסף". משמעותו של פן מחמיר זה היא פגיעה מהותית בערכים עליהם מגנה העבירה. ההערכה של פגיעה כזו אינה מנותקת, כפי שציין גם חברי השופט אלרון, ממבחן "כמותי" של ההתנהגות (ראו בפסקה 46 לחוות דעתו). כך למשל, נפסק כי התנהגות בניגוד עניינ</w:t>
      </w:r>
      <w:r w:rsidRPr="007F5756">
        <w:rPr>
          <w:rFonts w:ascii="Arial TUR" w:hAnsi="Arial TUR" w:cs="FrankRuehl" w:hint="cs"/>
          <w:spacing w:val="10"/>
          <w:sz w:val="28"/>
          <w:szCs w:val="28"/>
          <w:rtl/>
        </w:rPr>
        <w:t>ים תסווג כפלילית כתלות ב</w:t>
      </w:r>
      <w:r w:rsidRPr="007F5756">
        <w:rPr>
          <w:rFonts w:ascii="Century" w:hAnsi="Century" w:cs="FrankRuehl" w:hint="cs"/>
          <w:b/>
          <w:sz w:val="28"/>
          <w:szCs w:val="28"/>
          <w:rtl/>
        </w:rPr>
        <w:t>עוצמת</w:t>
      </w:r>
      <w:r w:rsidRPr="007F5756">
        <w:rPr>
          <w:rFonts w:ascii="Arial TUR" w:hAnsi="Arial TUR" w:cs="FrankRuehl" w:hint="cs"/>
          <w:spacing w:val="10"/>
          <w:sz w:val="28"/>
          <w:szCs w:val="28"/>
          <w:rtl/>
        </w:rPr>
        <w:t xml:space="preserve"> ניגוד העניינים וב</w:t>
      </w:r>
      <w:r w:rsidRPr="007F5756">
        <w:rPr>
          <w:rFonts w:ascii="Century" w:hAnsi="Century" w:cs="FrankRuehl" w:hint="cs"/>
          <w:b/>
          <w:sz w:val="28"/>
          <w:szCs w:val="28"/>
          <w:rtl/>
        </w:rPr>
        <w:t>מידת</w:t>
      </w:r>
      <w:r w:rsidRPr="007F5756">
        <w:rPr>
          <w:rFonts w:ascii="Arial TUR" w:hAnsi="Arial TUR" w:cs="FrankRuehl" w:hint="cs"/>
          <w:spacing w:val="10"/>
          <w:sz w:val="28"/>
          <w:szCs w:val="28"/>
          <w:rtl/>
        </w:rPr>
        <w:t xml:space="preserve"> הפסול בו, ואף נבחנת השאלה האם התקיימה סטייה מהשורה שהיא "</w:t>
      </w:r>
      <w:r w:rsidRPr="007F5756">
        <w:rPr>
          <w:rFonts w:ascii="Century" w:hAnsi="Century" w:cs="FrankRuehl" w:hint="cs"/>
          <w:b/>
          <w:sz w:val="28"/>
          <w:szCs w:val="28"/>
          <w:rtl/>
        </w:rPr>
        <w:t>נמשכת</w:t>
      </w:r>
      <w:r w:rsidRPr="007F5756">
        <w:rPr>
          <w:rFonts w:ascii="Arial TUR" w:hAnsi="Arial TUR" w:cs="FrankRuehl" w:hint="cs"/>
          <w:spacing w:val="10"/>
          <w:sz w:val="28"/>
          <w:szCs w:val="28"/>
          <w:rtl/>
        </w:rPr>
        <w:t xml:space="preserve">" או </w:t>
      </w:r>
      <w:r w:rsidRPr="007F5756">
        <w:rPr>
          <w:rFonts w:ascii="Arial TUR" w:hAnsi="Arial TUR" w:cs="FrankRuehl" w:hint="cs"/>
          <w:spacing w:val="10"/>
          <w:sz w:val="22"/>
          <w:szCs w:val="28"/>
          <w:rtl/>
        </w:rPr>
        <w:t>"חד-פעמית". המדובר במושגים שאינם אריתמטיים ועניינם במידה, המתחשבים בין היתר בחזרה על ההתנהג</w:t>
      </w:r>
      <w:r>
        <w:rPr>
          <w:rFonts w:ascii="Arial TUR" w:hAnsi="Arial TUR" w:cs="FrankRuehl" w:hint="cs"/>
          <w:spacing w:val="10"/>
          <w:sz w:val="22"/>
          <w:szCs w:val="28"/>
          <w:rtl/>
        </w:rPr>
        <w:t>ות הפסולה ובהתמשכותה. על רקע זה</w:t>
      </w:r>
      <w:r w:rsidRPr="007F5756">
        <w:rPr>
          <w:rFonts w:ascii="Arial TUR" w:hAnsi="Arial TUR" w:cs="FrankRuehl" w:hint="cs"/>
          <w:spacing w:val="10"/>
          <w:sz w:val="22"/>
          <w:szCs w:val="28"/>
          <w:rtl/>
        </w:rPr>
        <w:t xml:space="preserve">, מובן כי ביצוע חוזר ונמשך של מעשה פסול, גם אם בביצועו הבודד אין משום עבירה, יכול לגבש פן מחמיר נוסף שיהיה בו כדי לקיים את יסודותיה של עבירת הפרת האמונים.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r>
        <w:rPr>
          <w:rFonts w:ascii="Arial TUR" w:hAnsi="Arial TUR" w:cs="FrankRuehl" w:hint="cs"/>
          <w:spacing w:val="10"/>
          <w:sz w:val="22"/>
          <w:szCs w:val="28"/>
          <w:rtl/>
        </w:rPr>
        <w:t>בכך,</w:t>
      </w:r>
      <w:r w:rsidRPr="007F5756">
        <w:rPr>
          <w:rFonts w:ascii="Arial TUR" w:hAnsi="Arial TUR" w:cs="FrankRuehl" w:hint="cs"/>
          <w:spacing w:val="10"/>
          <w:sz w:val="22"/>
          <w:szCs w:val="28"/>
          <w:rtl/>
        </w:rPr>
        <w:t xml:space="preserve"> יש מענה גם להסתייגות מתזת הצבירה הנסבה סביב עיקרון החוקיות. נרחיב להלן בתשובה להסתייגות זו. </w:t>
      </w:r>
    </w:p>
    <w:p w:rsidR="00D865EA" w:rsidRDefault="00D865EA" w:rsidP="00D865EA">
      <w:pPr>
        <w:tabs>
          <w:tab w:val="left" w:pos="800"/>
        </w:tabs>
        <w:spacing w:line="360" w:lineRule="auto"/>
        <w:jc w:val="both"/>
        <w:rPr>
          <w:rFonts w:ascii="Arial TUR" w:hAnsi="Arial TUR" w:cs="FrankRuehl"/>
          <w:spacing w:val="10"/>
          <w:sz w:val="22"/>
          <w:szCs w:val="28"/>
          <w:rtl/>
        </w:rPr>
      </w:pPr>
    </w:p>
    <w:p w:rsidR="00892B63" w:rsidRPr="007F5756" w:rsidRDefault="00892B63"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Century" w:hAnsi="Century" w:cs="Miriam"/>
          <w:b/>
          <w:sz w:val="22"/>
          <w:rtl/>
        </w:rPr>
      </w:pPr>
      <w:bookmarkStart w:id="8" w:name="_Hlk85188017"/>
      <w:r w:rsidRPr="007F5756">
        <w:rPr>
          <w:rFonts w:ascii="Century" w:hAnsi="Century" w:cs="Miriam" w:hint="cs"/>
          <w:b/>
          <w:sz w:val="22"/>
          <w:rtl/>
        </w:rPr>
        <w:lastRenderedPageBreak/>
        <w:t xml:space="preserve">עקרון החוקיות </w:t>
      </w:r>
    </w:p>
    <w:bookmarkEnd w:id="8"/>
    <w:p w:rsidR="00D865EA" w:rsidRPr="007F5756" w:rsidRDefault="00D865EA" w:rsidP="00D865EA">
      <w:pPr>
        <w:tabs>
          <w:tab w:val="left" w:pos="800"/>
        </w:tabs>
        <w:spacing w:line="360" w:lineRule="auto"/>
        <w:jc w:val="both"/>
        <w:rPr>
          <w:rFonts w:ascii="Century" w:hAnsi="Century" w:cs="Miriam"/>
          <w:b/>
          <w:sz w:val="22"/>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hint="cs"/>
          <w:spacing w:val="10"/>
          <w:sz w:val="22"/>
          <w:szCs w:val="28"/>
          <w:rtl/>
        </w:rPr>
        <w:t>13.</w:t>
      </w:r>
      <w:r w:rsidRPr="007F5756">
        <w:rPr>
          <w:rFonts w:ascii="Arial TUR" w:hAnsi="Arial TUR" w:cs="FrankRuehl"/>
          <w:spacing w:val="10"/>
          <w:sz w:val="22"/>
          <w:szCs w:val="28"/>
          <w:rtl/>
        </w:rPr>
        <w:tab/>
      </w:r>
      <w:r w:rsidRPr="007F5756">
        <w:rPr>
          <w:rFonts w:ascii="Arial TUR" w:hAnsi="Arial TUR" w:cs="FrankRuehl" w:hint="cs"/>
          <w:spacing w:val="10"/>
          <w:sz w:val="22"/>
          <w:szCs w:val="28"/>
          <w:rtl/>
        </w:rPr>
        <w:t xml:space="preserve">האם תזת הצבירה סותרת את עקרון החוקיות בפלילים, ועל-כן אין לאמצה? עקרון זה, המעוגן בסעיף 1 לחוק העונשין, קובע כי "אין עבירה ואין עונש עליה אלא אם כן נקבעו בחוק או על-פיו". לאמור, אין </w:t>
      </w:r>
      <w:bookmarkStart w:id="9" w:name="Rov875"/>
      <w:r w:rsidRPr="007F5756">
        <w:rPr>
          <w:rFonts w:ascii="Arial TUR" w:hAnsi="Arial TUR" w:cs="FrankRuehl" w:hint="cs"/>
          <w:vanish/>
          <w:spacing w:val="10"/>
          <w:sz w:val="22"/>
          <w:szCs w:val="28"/>
          <w:rtl/>
        </w:rPr>
        <w:t>מיום 23.8.1995</w:t>
      </w:r>
      <w:bookmarkEnd w:id="9"/>
      <w:r w:rsidRPr="007F5756">
        <w:rPr>
          <w:rFonts w:ascii="Arial TUR" w:hAnsi="Arial TUR" w:cs="FrankRuehl" w:hint="cs"/>
          <w:b/>
          <w:bCs/>
          <w:vanish/>
          <w:spacing w:val="10"/>
          <w:sz w:val="22"/>
          <w:szCs w:val="28"/>
          <w:rtl/>
        </w:rPr>
        <w:t>הוספת סעיף 1</w:t>
      </w:r>
      <w:r w:rsidRPr="007F5756">
        <w:rPr>
          <w:rFonts w:ascii="Arial TUR" w:hAnsi="Arial TUR" w:cs="FrankRuehl" w:hint="cs"/>
          <w:spacing w:val="10"/>
          <w:sz w:val="22"/>
          <w:szCs w:val="28"/>
          <w:rtl/>
        </w:rPr>
        <w:t xml:space="preserve">להטיל אחריות פלילית על אדם בלא שיסודות העבירה והעונש הצפוי בגינה נקבעו בחוק. התפיסה בבסיס </w:t>
      </w:r>
      <w:proofErr w:type="spellStart"/>
      <w:r w:rsidRPr="007F5756">
        <w:rPr>
          <w:rFonts w:ascii="Arial TUR" w:hAnsi="Arial TUR" w:cs="FrankRuehl" w:hint="cs"/>
          <w:spacing w:val="10"/>
          <w:sz w:val="22"/>
          <w:szCs w:val="28"/>
          <w:rtl/>
        </w:rPr>
        <w:t>העקרון</w:t>
      </w:r>
      <w:proofErr w:type="spellEnd"/>
      <w:r w:rsidRPr="007F5756">
        <w:rPr>
          <w:rFonts w:ascii="Arial TUR" w:hAnsi="Arial TUR" w:cs="FrankRuehl" w:hint="cs"/>
          <w:spacing w:val="10"/>
          <w:sz w:val="22"/>
          <w:szCs w:val="28"/>
          <w:rtl/>
        </w:rPr>
        <w:t xml:space="preserve">, המתחייבת מטעמים של צדק והגינות, היא כי "אין עונשין אלא אם כן </w:t>
      </w:r>
      <w:proofErr w:type="spellStart"/>
      <w:r w:rsidRPr="007F5756">
        <w:rPr>
          <w:rFonts w:ascii="Arial TUR" w:hAnsi="Arial TUR" w:cs="FrankRuehl" w:hint="cs"/>
          <w:spacing w:val="10"/>
          <w:sz w:val="22"/>
          <w:szCs w:val="28"/>
          <w:rtl/>
        </w:rPr>
        <w:t>מזהירין</w:t>
      </w:r>
      <w:proofErr w:type="spellEnd"/>
      <w:r w:rsidRPr="007F5756">
        <w:rPr>
          <w:rFonts w:ascii="Arial TUR" w:hAnsi="Arial TUR" w:cs="FrankRuehl" w:hint="cs"/>
          <w:spacing w:val="10"/>
          <w:sz w:val="22"/>
          <w:szCs w:val="28"/>
          <w:rtl/>
        </w:rPr>
        <w:t>". זהו כלל מן המשפט העברי, כלשון התלמוד: "</w:t>
      </w:r>
      <w:r w:rsidRPr="007F5756">
        <w:rPr>
          <w:rFonts w:ascii="Arial TUR" w:hAnsi="Arial TUR" w:cs="FrankRuehl"/>
          <w:spacing w:val="10"/>
          <w:sz w:val="22"/>
          <w:szCs w:val="28"/>
          <w:rtl/>
        </w:rPr>
        <w:t>אזהרה שמענו, עונש מניין</w:t>
      </w:r>
      <w:r w:rsidRPr="007F5756">
        <w:rPr>
          <w:rFonts w:ascii="Arial TUR" w:hAnsi="Arial TUR" w:cs="FrankRuehl" w:hint="cs"/>
          <w:spacing w:val="10"/>
          <w:sz w:val="22"/>
          <w:szCs w:val="28"/>
          <w:rtl/>
        </w:rPr>
        <w:t>?"</w:t>
      </w:r>
      <w:r w:rsidRPr="007F5756">
        <w:rPr>
          <w:rFonts w:ascii="Arial TUR" w:hAnsi="Arial TUR" w:cs="FrankRuehl"/>
          <w:spacing w:val="10"/>
          <w:sz w:val="22"/>
          <w:szCs w:val="28"/>
          <w:rtl/>
        </w:rPr>
        <w:t xml:space="preserve"> (</w:t>
      </w:r>
      <w:r w:rsidRPr="007F5756">
        <w:rPr>
          <w:rFonts w:ascii="Arial TUR" w:hAnsi="Arial TUR" w:cs="FrankRuehl" w:hint="cs"/>
          <w:spacing w:val="10"/>
          <w:sz w:val="22"/>
          <w:szCs w:val="28"/>
          <w:rtl/>
        </w:rPr>
        <w:t xml:space="preserve">תלמוד בבלי, </w:t>
      </w:r>
      <w:r w:rsidRPr="007F5756">
        <w:rPr>
          <w:rFonts w:ascii="Arial TUR" w:hAnsi="Arial TUR" w:cs="FrankRuehl"/>
          <w:spacing w:val="10"/>
          <w:sz w:val="22"/>
          <w:szCs w:val="28"/>
          <w:rtl/>
        </w:rPr>
        <w:t xml:space="preserve">יבמות ג, ע"ב) או </w:t>
      </w:r>
      <w:r w:rsidRPr="007F5756">
        <w:rPr>
          <w:rFonts w:ascii="Arial TUR" w:hAnsi="Arial TUR" w:cs="FrankRuehl" w:hint="cs"/>
          <w:spacing w:val="10"/>
          <w:sz w:val="22"/>
          <w:szCs w:val="28"/>
          <w:rtl/>
        </w:rPr>
        <w:t>"</w:t>
      </w:r>
      <w:r w:rsidRPr="007F5756">
        <w:rPr>
          <w:rFonts w:ascii="Arial TUR" w:hAnsi="Arial TUR" w:cs="FrankRuehl"/>
          <w:spacing w:val="10"/>
          <w:sz w:val="22"/>
          <w:szCs w:val="28"/>
          <w:rtl/>
        </w:rPr>
        <w:t>עונש שמענו, אזהרה מניין</w:t>
      </w:r>
      <w:r w:rsidRPr="007F5756">
        <w:rPr>
          <w:rFonts w:ascii="Arial TUR" w:hAnsi="Arial TUR" w:cs="FrankRuehl" w:hint="cs"/>
          <w:spacing w:val="10"/>
          <w:sz w:val="22"/>
          <w:szCs w:val="28"/>
          <w:rtl/>
        </w:rPr>
        <w:t>?"</w:t>
      </w:r>
      <w:r w:rsidRPr="007F5756">
        <w:rPr>
          <w:rFonts w:ascii="Arial TUR" w:hAnsi="Arial TUR" w:cs="FrankRuehl"/>
          <w:spacing w:val="10"/>
          <w:sz w:val="22"/>
          <w:szCs w:val="28"/>
          <w:rtl/>
        </w:rPr>
        <w:t xml:space="preserve"> (</w:t>
      </w:r>
      <w:r w:rsidRPr="007F5756">
        <w:rPr>
          <w:rFonts w:ascii="Arial TUR" w:hAnsi="Arial TUR" w:cs="FrankRuehl" w:hint="cs"/>
          <w:spacing w:val="10"/>
          <w:sz w:val="22"/>
          <w:szCs w:val="28"/>
          <w:rtl/>
        </w:rPr>
        <w:t xml:space="preserve">תלמוד בבלי, </w:t>
      </w:r>
      <w:r w:rsidRPr="007F5756">
        <w:rPr>
          <w:rFonts w:ascii="Arial TUR" w:hAnsi="Arial TUR" w:cs="FrankRuehl"/>
          <w:spacing w:val="10"/>
          <w:sz w:val="22"/>
          <w:szCs w:val="28"/>
          <w:rtl/>
        </w:rPr>
        <w:t>מכות ה, ע"ב</w:t>
      </w:r>
      <w:r w:rsidRPr="007F5756">
        <w:rPr>
          <w:rFonts w:ascii="Arial TUR" w:hAnsi="Arial TUR" w:cs="FrankRuehl" w:hint="cs"/>
          <w:spacing w:val="10"/>
          <w:sz w:val="22"/>
          <w:szCs w:val="28"/>
          <w:rtl/>
        </w:rPr>
        <w:t xml:space="preserve">), וראו גם: </w:t>
      </w:r>
      <w:r w:rsidRPr="007F5756">
        <w:rPr>
          <w:rFonts w:ascii="Arial TUR" w:hAnsi="Arial TUR" w:cs="FrankRuehl"/>
          <w:spacing w:val="10"/>
          <w:sz w:val="22"/>
          <w:szCs w:val="28"/>
          <w:rtl/>
        </w:rPr>
        <w:t>מ</w:t>
      </w:r>
      <w:r w:rsidRPr="007F5756">
        <w:rPr>
          <w:rFonts w:ascii="Arial TUR" w:hAnsi="Arial TUR" w:cs="FrankRuehl" w:hint="cs"/>
          <w:spacing w:val="10"/>
          <w:sz w:val="22"/>
          <w:szCs w:val="28"/>
          <w:rtl/>
        </w:rPr>
        <w:t>שה</w:t>
      </w:r>
      <w:r w:rsidRPr="007F5756">
        <w:rPr>
          <w:rFonts w:ascii="Arial TUR" w:hAnsi="Arial TUR" w:cs="FrankRuehl"/>
          <w:spacing w:val="10"/>
          <w:sz w:val="22"/>
          <w:szCs w:val="28"/>
          <w:rtl/>
        </w:rPr>
        <w:t xml:space="preserve"> </w:t>
      </w:r>
      <w:proofErr w:type="spellStart"/>
      <w:r w:rsidRPr="007F5756">
        <w:rPr>
          <w:rFonts w:ascii="Arial TUR" w:hAnsi="Arial TUR" w:cs="FrankRuehl"/>
          <w:spacing w:val="10"/>
          <w:sz w:val="22"/>
          <w:szCs w:val="28"/>
          <w:rtl/>
        </w:rPr>
        <w:t>זילברג</w:t>
      </w:r>
      <w:proofErr w:type="spellEnd"/>
      <w:r w:rsidRPr="007F5756">
        <w:rPr>
          <w:rFonts w:ascii="Arial TUR" w:hAnsi="Arial TUR" w:cs="FrankRuehl"/>
          <w:spacing w:val="10"/>
          <w:sz w:val="22"/>
          <w:szCs w:val="28"/>
          <w:rtl/>
        </w:rPr>
        <w:t xml:space="preserve"> </w:t>
      </w:r>
      <w:r w:rsidRPr="007F5756">
        <w:rPr>
          <w:rFonts w:ascii="Miriam" w:hAnsi="Miriam" w:cs="Miriam"/>
          <w:spacing w:val="10"/>
          <w:rtl/>
        </w:rPr>
        <w:t>כך דרכו של תלמוד</w:t>
      </w:r>
      <w:r w:rsidRPr="007F5756">
        <w:rPr>
          <w:rFonts w:ascii="Arial TUR" w:hAnsi="Arial TUR" w:cs="FrankRuehl"/>
          <w:spacing w:val="10"/>
          <w:rtl/>
        </w:rPr>
        <w:t xml:space="preserve"> </w:t>
      </w:r>
      <w:r w:rsidRPr="007F5756">
        <w:rPr>
          <w:rFonts w:ascii="Arial TUR" w:hAnsi="Arial TUR" w:cs="FrankRuehl" w:hint="cs"/>
          <w:spacing w:val="10"/>
          <w:rtl/>
        </w:rPr>
        <w:t>95-94</w:t>
      </w:r>
      <w:r w:rsidRPr="007F5756">
        <w:rPr>
          <w:rFonts w:ascii="Arial TUR" w:hAnsi="Arial TUR" w:cs="FrankRuehl" w:hint="cs"/>
          <w:spacing w:val="10"/>
          <w:sz w:val="22"/>
          <w:szCs w:val="28"/>
          <w:rtl/>
        </w:rPr>
        <w:t xml:space="preserve"> (</w:t>
      </w:r>
      <w:proofErr w:type="spellStart"/>
      <w:r w:rsidRPr="007F5756">
        <w:rPr>
          <w:rFonts w:ascii="Arial TUR" w:hAnsi="Arial TUR" w:cs="FrankRuehl" w:hint="cs"/>
          <w:spacing w:val="10"/>
          <w:sz w:val="22"/>
          <w:szCs w:val="28"/>
          <w:rtl/>
        </w:rPr>
        <w:t>התשכ"ד</w:t>
      </w:r>
      <w:proofErr w:type="spellEnd"/>
      <w:r w:rsidRPr="007F5756">
        <w:rPr>
          <w:rFonts w:ascii="Arial TUR" w:hAnsi="Arial TUR" w:cs="FrankRuehl" w:hint="cs"/>
          <w:spacing w:val="10"/>
          <w:sz w:val="22"/>
          <w:szCs w:val="28"/>
          <w:rtl/>
        </w:rPr>
        <w:t xml:space="preserve">). לענייננו, רלוונטי ההכרח הנגזר מעקרון החוקיות, לקבוע קו גבול ברור ככל שניתן בין ההתנהגות המותרת ובין ההתנהגות האסורה על-פי חוק (ראו: </w:t>
      </w:r>
      <w:proofErr w:type="spellStart"/>
      <w:r w:rsidRPr="007F5756">
        <w:rPr>
          <w:rFonts w:ascii="Arial TUR" w:hAnsi="Arial TUR" w:cs="FrankRuehl" w:hint="cs"/>
          <w:spacing w:val="10"/>
          <w:sz w:val="22"/>
          <w:szCs w:val="28"/>
          <w:rtl/>
        </w:rPr>
        <w:t>דנ"פ</w:t>
      </w:r>
      <w:proofErr w:type="spellEnd"/>
      <w:r w:rsidRPr="007F5756">
        <w:rPr>
          <w:rFonts w:ascii="Arial TUR" w:hAnsi="Arial TUR" w:cs="FrankRuehl" w:hint="cs"/>
          <w:spacing w:val="10"/>
          <w:sz w:val="22"/>
          <w:szCs w:val="28"/>
          <w:rtl/>
        </w:rPr>
        <w:t xml:space="preserve"> 10987/07 </w:t>
      </w:r>
      <w:r w:rsidRPr="007F5756">
        <w:rPr>
          <w:rFonts w:ascii="Century" w:hAnsi="Century" w:cs="Miriam" w:hint="cs"/>
          <w:b/>
          <w:sz w:val="22"/>
          <w:rtl/>
        </w:rPr>
        <w:t>מדינת ישראל נ' כהן</w:t>
      </w:r>
      <w:r w:rsidRPr="007F5756">
        <w:rPr>
          <w:rFonts w:ascii="Arial TUR" w:hAnsi="Arial TUR" w:cs="FrankRuehl" w:hint="cs"/>
          <w:spacing w:val="10"/>
          <w:sz w:val="22"/>
          <w:szCs w:val="28"/>
          <w:rtl/>
        </w:rPr>
        <w:t xml:space="preserve">, פ"ד </w:t>
      </w:r>
      <w:proofErr w:type="spellStart"/>
      <w:r w:rsidRPr="007F5756">
        <w:rPr>
          <w:rFonts w:ascii="Arial TUR" w:hAnsi="Arial TUR" w:cs="FrankRuehl" w:hint="cs"/>
          <w:spacing w:val="10"/>
          <w:sz w:val="22"/>
          <w:szCs w:val="28"/>
          <w:rtl/>
        </w:rPr>
        <w:t>סג</w:t>
      </w:r>
      <w:proofErr w:type="spellEnd"/>
      <w:r w:rsidRPr="007F5756">
        <w:rPr>
          <w:rFonts w:ascii="Arial TUR" w:hAnsi="Arial TUR" w:cs="FrankRuehl" w:hint="cs"/>
          <w:spacing w:val="10"/>
          <w:sz w:val="22"/>
          <w:szCs w:val="28"/>
          <w:rtl/>
        </w:rPr>
        <w:t xml:space="preserve">(1) 644, פסקה 9 לחוות דעתה של הנשיאה ביניש (2009)). בהקשר זה, הטענה היא כי תזת הצבירה תביא למצב לא רצוי שבו מספר פעולות חוקיות שביצע אדם יהפכו, יום אחד ובדיעבד, למעשה פלילי </w:t>
      </w:r>
      <w:r w:rsidRPr="007F5756">
        <w:rPr>
          <w:rFonts w:ascii="Arial TUR" w:hAnsi="Arial TUR" w:cs="FrankRuehl"/>
          <w:spacing w:val="10"/>
          <w:sz w:val="22"/>
          <w:szCs w:val="28"/>
          <w:rtl/>
        </w:rPr>
        <w:t>–</w:t>
      </w:r>
      <w:r w:rsidRPr="007F5756">
        <w:rPr>
          <w:rFonts w:ascii="Arial TUR" w:hAnsi="Arial TUR" w:cs="FrankRuehl" w:hint="cs"/>
          <w:spacing w:val="10"/>
          <w:sz w:val="22"/>
          <w:szCs w:val="28"/>
          <w:rtl/>
        </w:rPr>
        <w:t xml:space="preserve"> וזאת, מבלי שמבצען יידע מתי בדיוק מתגבש המכלול פלילי, כך שלא יוכל להימנע מחציית קו הגבול השם אותו בגדר עבריין.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r w:rsidRPr="007F5756">
        <w:rPr>
          <w:rFonts w:ascii="Arial TUR" w:hAnsi="Arial TUR" w:cs="FrankRuehl" w:hint="cs"/>
          <w:spacing w:val="10"/>
          <w:sz w:val="22"/>
          <w:szCs w:val="28"/>
          <w:rtl/>
        </w:rPr>
        <w:t xml:space="preserve">לכך ניתן להשיב בכמה אופנים.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r w:rsidRPr="007F5756">
        <w:rPr>
          <w:rFonts w:ascii="Arial TUR" w:hAnsi="Arial TUR" w:cs="FrankRuehl" w:hint="cs"/>
          <w:spacing w:val="10"/>
          <w:sz w:val="22"/>
          <w:szCs w:val="28"/>
          <w:rtl/>
        </w:rPr>
        <w:t>ראשית, אם נאמר כי תזת הצבירה פסולה היא בגלל עקרון החוקיות, כך צריך להיות הדבר בכל עבירה ולא רק בעבירה של הפרת אמונים. והנה, כפי שתואר קודם, בעבירת ההתעללות בקטין או בחסר ישע</w:t>
      </w:r>
      <w:r>
        <w:rPr>
          <w:rFonts w:ascii="Arial TUR" w:hAnsi="Arial TUR" w:cs="FrankRuehl" w:hint="cs"/>
          <w:spacing w:val="10"/>
          <w:sz w:val="22"/>
          <w:szCs w:val="28"/>
          <w:rtl/>
        </w:rPr>
        <w:t>,</w:t>
      </w:r>
      <w:r w:rsidRPr="007F5756">
        <w:rPr>
          <w:rFonts w:ascii="Arial TUR" w:hAnsi="Arial TUR" w:cs="FrankRuehl" w:hint="cs"/>
          <w:spacing w:val="10"/>
          <w:sz w:val="22"/>
          <w:szCs w:val="28"/>
          <w:rtl/>
        </w:rPr>
        <w:t xml:space="preserve"> מוכרת ונהוגה האפשרות כי יסודות העבירה יתקיימו על דרך של ביצוע נמשך של מעשים אשר אינם מגבשים את העבירה כש</w:t>
      </w:r>
      <w:r>
        <w:rPr>
          <w:rFonts w:ascii="Arial TUR" w:hAnsi="Arial TUR" w:cs="FrankRuehl" w:hint="cs"/>
          <w:spacing w:val="10"/>
          <w:sz w:val="22"/>
          <w:szCs w:val="28"/>
          <w:rtl/>
        </w:rPr>
        <w:t xml:space="preserve">הם לבדם. לא זו אף זו. </w:t>
      </w:r>
      <w:r w:rsidRPr="007F5756">
        <w:rPr>
          <w:rFonts w:ascii="Arial TUR" w:hAnsi="Arial TUR" w:cs="FrankRuehl" w:hint="cs"/>
          <w:spacing w:val="10"/>
          <w:sz w:val="22"/>
          <w:szCs w:val="28"/>
          <w:rtl/>
        </w:rPr>
        <w:t>בעבירת ההתעללות</w:t>
      </w:r>
      <w:r>
        <w:rPr>
          <w:rFonts w:ascii="Arial TUR" w:hAnsi="Arial TUR" w:cs="FrankRuehl" w:hint="cs"/>
          <w:spacing w:val="10"/>
          <w:sz w:val="22"/>
          <w:szCs w:val="28"/>
          <w:rtl/>
        </w:rPr>
        <w:t xml:space="preserve"> </w:t>
      </w:r>
      <w:r w:rsidRPr="007F5756">
        <w:rPr>
          <w:rFonts w:ascii="Arial TUR" w:hAnsi="Arial TUR" w:cs="FrankRuehl" w:hint="cs"/>
          <w:spacing w:val="10"/>
          <w:sz w:val="22"/>
          <w:szCs w:val="28"/>
          <w:rtl/>
        </w:rPr>
        <w:t xml:space="preserve">אנו יכולים לפגוש, כפי שהומחש בדוגמה של האב המתעלל בבתו בעניין </w:t>
      </w:r>
      <w:r w:rsidRPr="007F5756">
        <w:rPr>
          <w:rFonts w:ascii="Miriam" w:hAnsi="Miriam" w:cs="Miriam"/>
          <w:spacing w:val="10"/>
          <w:rtl/>
        </w:rPr>
        <w:t>פלוני</w:t>
      </w:r>
      <w:r w:rsidRPr="007F5756">
        <w:rPr>
          <w:rFonts w:ascii="Arial TUR" w:hAnsi="Arial TUR" w:cs="FrankRuehl" w:hint="cs"/>
          <w:spacing w:val="10"/>
          <w:sz w:val="22"/>
          <w:szCs w:val="28"/>
          <w:rtl/>
        </w:rPr>
        <w:t xml:space="preserve">, מקרים שבהם כל אחד מהמעשים </w:t>
      </w:r>
      <w:r>
        <w:rPr>
          <w:rFonts w:ascii="Arial TUR" w:hAnsi="Arial TUR" w:cs="FrankRuehl" w:hint="cs"/>
          <w:spacing w:val="10"/>
          <w:sz w:val="22"/>
          <w:szCs w:val="28"/>
          <w:rtl/>
        </w:rPr>
        <w:t>לבדו</w:t>
      </w:r>
      <w:r w:rsidRPr="007F5756">
        <w:rPr>
          <w:rFonts w:ascii="Arial TUR" w:hAnsi="Arial TUR" w:cs="FrankRuehl" w:hint="cs"/>
          <w:spacing w:val="10"/>
          <w:sz w:val="22"/>
          <w:szCs w:val="28"/>
          <w:rtl/>
        </w:rPr>
        <w:t xml:space="preserve"> אינו אסור על פי כל דין, בין אם פלילי ובין אם משמעתי. במקרה שלפנינו לא כך הדבר.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r w:rsidRPr="007F5756">
        <w:rPr>
          <w:rFonts w:ascii="Arial TUR" w:hAnsi="Arial TUR" w:cs="FrankRuehl" w:hint="cs"/>
          <w:spacing w:val="10"/>
          <w:sz w:val="22"/>
          <w:szCs w:val="28"/>
          <w:rtl/>
        </w:rPr>
        <w:t xml:space="preserve">כאמור בענייננו כל מעשה לבדו מהווה הפרה של איסור משמעתי. אין מדובר, כפי שהדבר נוסח בבקשת רשות הערעור, ב"אזרחים שומרי חוק" שלפתע "מעשיהם הלגיטימיים נהפכים לפליליים" (סעיף 113 לבקשה). עסקינן בעובד ציבור שביצע במסגרת תפקידו שוב ושוב מעשה ביודעו כי הוא פסול, באופן שבצדו מצויה סנקציה, לכל הפחות במישור המשמעתי. הדגש הוא על המילים "לכל הפחות", משום במקרה של עבירת הפרת אמונים, כפי שהוסבר לעיל, יכול לעלות דפוס התנהגות כזה גם כדי עבירה פלילית. כך הדבר מקום שההגדרה החקיקתית של הפרת אמונים פורשה כמעשה הפוגע </w:t>
      </w:r>
      <w:r w:rsidRPr="007F5756">
        <w:rPr>
          <w:rFonts w:ascii="Arial TUR" w:hAnsi="Arial TUR" w:cs="FrankRuehl" w:hint="cs"/>
          <w:spacing w:val="10"/>
          <w:sz w:val="22"/>
          <w:szCs w:val="28"/>
          <w:rtl/>
        </w:rPr>
        <w:lastRenderedPageBreak/>
        <w:t xml:space="preserve">באופן מהותי בערכים המוגנים, ומקום שנפסק כי פגיעה כזו מוערכת על ידי מבחנים הרגישים למידה. שילוב הדברים האמור: העובדה שמדובר במעשה פסול; אשר עובד הציבור חוזר עליו לאורך זמן; תוך ידיעה כי לפי הדין והפסיקה יש חשיבות לחזרה על המעשים הפסולים ולהתמשכותם </w:t>
      </w:r>
      <w:r w:rsidRPr="007F5756">
        <w:rPr>
          <w:rFonts w:ascii="Arial TUR" w:hAnsi="Arial TUR" w:cs="FrankRuehl"/>
          <w:spacing w:val="10"/>
          <w:sz w:val="22"/>
          <w:szCs w:val="28"/>
          <w:rtl/>
        </w:rPr>
        <w:t>–</w:t>
      </w:r>
      <w:r w:rsidRPr="007F5756">
        <w:rPr>
          <w:rFonts w:ascii="Arial TUR" w:hAnsi="Arial TUR" w:cs="FrankRuehl" w:hint="cs"/>
          <w:spacing w:val="10"/>
          <w:sz w:val="22"/>
          <w:szCs w:val="28"/>
          <w:rtl/>
        </w:rPr>
        <w:t xml:space="preserve"> מקהה את העוקץ מן הטענה כנגד תזת הצבירה שלפיה עובד הציבור יופתע מכך שמעשיו המותרים-לכאורה יהפכו לפתע לאסורים.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r w:rsidRPr="007F5756">
        <w:rPr>
          <w:rFonts w:ascii="Arial TUR" w:hAnsi="Arial TUR" w:cs="FrankRuehl" w:hint="cs"/>
          <w:spacing w:val="10"/>
          <w:sz w:val="22"/>
          <w:szCs w:val="28"/>
          <w:rtl/>
        </w:rPr>
        <w:t xml:space="preserve">מאחר וקו הגבול במסגרת עבירת הפרת האמונים משורטט תוך שימוש במושגים שאינם מדויקים עד דק ועוסקים גם במידה </w:t>
      </w:r>
      <w:r w:rsidRPr="007F5756">
        <w:rPr>
          <w:rFonts w:ascii="Arial TUR" w:hAnsi="Arial TUR" w:cs="FrankRuehl"/>
          <w:spacing w:val="10"/>
          <w:sz w:val="22"/>
          <w:szCs w:val="28"/>
          <w:rtl/>
        </w:rPr>
        <w:t>–</w:t>
      </w:r>
      <w:r w:rsidRPr="007F5756">
        <w:rPr>
          <w:rFonts w:ascii="Arial TUR" w:hAnsi="Arial TUR" w:cs="FrankRuehl" w:hint="cs"/>
          <w:spacing w:val="10"/>
          <w:sz w:val="22"/>
          <w:szCs w:val="28"/>
          <w:rtl/>
        </w:rPr>
        <w:t xml:space="preserve"> לא ברור עד כמה תוסיף תזת הצבירה עמימות לדרך שבה מיושמת העבירה כבר כיום. כפי שקשה לענות במדויק על השאלה כמה מעשים יספיקו כדי לגבש מצבור פלילי במסגרת תזת הצבירה, כך קשה להעריך מראש, למשל, איזו עוצמה של ניגוד עניינים או חומרה של סטייה מהשורה תספיק כדי שיתהווה "פן מחמיר נוסף"</w:t>
      </w:r>
      <w:r>
        <w:rPr>
          <w:rFonts w:ascii="Arial TUR" w:hAnsi="Arial TUR" w:cs="FrankRuehl" w:hint="cs"/>
          <w:spacing w:val="10"/>
          <w:sz w:val="22"/>
          <w:szCs w:val="28"/>
          <w:rtl/>
        </w:rPr>
        <w:t xml:space="preserve"> במסגרת המעשה הבודד</w:t>
      </w:r>
      <w:r w:rsidRPr="007F5756">
        <w:rPr>
          <w:rFonts w:ascii="Arial TUR" w:hAnsi="Arial TUR" w:cs="FrankRuehl" w:hint="cs"/>
          <w:spacing w:val="10"/>
          <w:sz w:val="22"/>
          <w:szCs w:val="28"/>
          <w:rtl/>
        </w:rPr>
        <w:t>. והלוא מתחם זה של חוסר וודאות התקבל בפסיקה ככזה שאין בו כדי להביא לביטול העבירה או לצמצומה יתר על המידה, שכן בכך תחסר החברה מכשיר חשוב למאבק בשחיתות ציבורית. מכאן אמירתו של בית המשפט המחוזי, כי הטענה שתזת הצבירה פוגעת בעקרון החוקיות, כמוה כטענה נגד חוקיותה של עבירת הפרת האמונים עצמה (עמ' 78 לפסק דינו של בית המשפט המחוזי). י</w:t>
      </w:r>
      <w:r>
        <w:rPr>
          <w:rFonts w:ascii="Arial TUR" w:hAnsi="Arial TUR" w:cs="FrankRuehl" w:hint="cs"/>
          <w:spacing w:val="10"/>
          <w:sz w:val="22"/>
          <w:szCs w:val="28"/>
          <w:rtl/>
        </w:rPr>
        <w:t>וער</w:t>
      </w:r>
      <w:r w:rsidRPr="007F5756">
        <w:rPr>
          <w:rFonts w:ascii="Arial TUR" w:hAnsi="Arial TUR" w:cs="FrankRuehl" w:hint="cs"/>
          <w:spacing w:val="10"/>
          <w:sz w:val="22"/>
          <w:szCs w:val="28"/>
          <w:rtl/>
        </w:rPr>
        <w:t xml:space="preserve">, כי לצד </w:t>
      </w:r>
      <w:r>
        <w:rPr>
          <w:rFonts w:ascii="Arial TUR" w:hAnsi="Arial TUR" w:cs="FrankRuehl" w:hint="cs"/>
          <w:spacing w:val="10"/>
          <w:sz w:val="22"/>
          <w:szCs w:val="28"/>
          <w:rtl/>
        </w:rPr>
        <w:t>ה</w:t>
      </w:r>
      <w:r w:rsidRPr="007F5756">
        <w:rPr>
          <w:rFonts w:ascii="Arial TUR" w:hAnsi="Arial TUR" w:cs="FrankRuehl" w:hint="cs"/>
          <w:spacing w:val="10"/>
          <w:sz w:val="22"/>
          <w:szCs w:val="28"/>
          <w:rtl/>
        </w:rPr>
        <w:t>הכר</w:t>
      </w:r>
      <w:r>
        <w:rPr>
          <w:rFonts w:ascii="Arial TUR" w:hAnsi="Arial TUR" w:cs="FrankRuehl" w:hint="cs"/>
          <w:spacing w:val="10"/>
          <w:sz w:val="22"/>
          <w:szCs w:val="28"/>
          <w:rtl/>
        </w:rPr>
        <w:t>ה</w:t>
      </w:r>
      <w:r w:rsidRPr="007F5756">
        <w:rPr>
          <w:rFonts w:ascii="Arial TUR" w:hAnsi="Arial TUR" w:cs="FrankRuehl" w:hint="cs"/>
          <w:spacing w:val="10"/>
          <w:sz w:val="22"/>
          <w:szCs w:val="28"/>
          <w:rtl/>
        </w:rPr>
        <w:t xml:space="preserve"> בכך שעבירה זו מותירה שוליים מסוימים של עמימות, </w:t>
      </w:r>
      <w:r>
        <w:rPr>
          <w:rFonts w:ascii="Arial TUR" w:hAnsi="Arial TUR" w:cs="FrankRuehl" w:hint="cs"/>
          <w:spacing w:val="10"/>
          <w:sz w:val="22"/>
          <w:szCs w:val="28"/>
          <w:rtl/>
        </w:rPr>
        <w:t>צוין</w:t>
      </w:r>
      <w:r w:rsidRPr="007F5756">
        <w:rPr>
          <w:rFonts w:ascii="Arial TUR" w:hAnsi="Arial TUR" w:cs="FrankRuehl" w:hint="cs"/>
          <w:spacing w:val="10"/>
          <w:sz w:val="22"/>
          <w:szCs w:val="28"/>
          <w:rtl/>
        </w:rPr>
        <w:t xml:space="preserve"> בעניין </w:t>
      </w:r>
      <w:r w:rsidRPr="007F5756">
        <w:rPr>
          <w:rFonts w:ascii="Century" w:hAnsi="Century" w:cs="Miriam" w:hint="cs"/>
          <w:b/>
          <w:sz w:val="22"/>
          <w:rtl/>
        </w:rPr>
        <w:t>שבס</w:t>
      </w:r>
      <w:r w:rsidRPr="007F5756">
        <w:rPr>
          <w:rFonts w:ascii="Arial TUR" w:hAnsi="Arial TUR" w:cs="FrankRuehl" w:hint="cs"/>
          <w:spacing w:val="10"/>
          <w:sz w:val="22"/>
          <w:szCs w:val="28"/>
          <w:rtl/>
        </w:rPr>
        <w:t xml:space="preserve"> </w:t>
      </w:r>
      <w:r>
        <w:rPr>
          <w:rFonts w:ascii="Arial TUR" w:hAnsi="Arial TUR" w:cs="FrankRuehl" w:hint="cs"/>
          <w:spacing w:val="10"/>
          <w:sz w:val="22"/>
          <w:szCs w:val="28"/>
          <w:rtl/>
        </w:rPr>
        <w:t xml:space="preserve">גם </w:t>
      </w:r>
      <w:r w:rsidRPr="007F5756">
        <w:rPr>
          <w:rFonts w:ascii="Arial TUR" w:hAnsi="Arial TUR" w:cs="FrankRuehl" w:hint="cs"/>
          <w:spacing w:val="10"/>
          <w:sz w:val="22"/>
          <w:szCs w:val="28"/>
          <w:rtl/>
        </w:rPr>
        <w:t xml:space="preserve">כי: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ind w:left="1644" w:right="1276"/>
        <w:jc w:val="both"/>
        <w:rPr>
          <w:rFonts w:ascii="Arial TUR" w:hAnsi="Arial TUR" w:cs="FrankRuehl"/>
          <w:spacing w:val="10"/>
          <w:sz w:val="22"/>
          <w:szCs w:val="28"/>
          <w:rtl/>
        </w:rPr>
      </w:pPr>
      <w:r w:rsidRPr="007F5756">
        <w:rPr>
          <w:rFonts w:ascii="Arial TUR" w:hAnsi="Arial TUR" w:cs="FrankRuehl" w:hint="cs"/>
          <w:spacing w:val="10"/>
          <w:sz w:val="22"/>
          <w:szCs w:val="28"/>
          <w:rtl/>
        </w:rPr>
        <w:t>"</w:t>
      </w:r>
      <w:r w:rsidRPr="007F5756">
        <w:rPr>
          <w:rFonts w:ascii="Arial TUR" w:hAnsi="Arial TUR" w:cs="FrankRuehl"/>
          <w:spacing w:val="10"/>
          <w:sz w:val="22"/>
          <w:szCs w:val="28"/>
          <w:rtl/>
        </w:rPr>
        <w:t xml:space="preserve">אין להפריז בחשש כי עובד הציבור יופתע מהטלת סנקציה </w:t>
      </w:r>
      <w:proofErr w:type="spellStart"/>
      <w:r w:rsidRPr="007F5756">
        <w:rPr>
          <w:rFonts w:ascii="Arial TUR" w:hAnsi="Arial TUR" w:cs="FrankRuehl"/>
          <w:spacing w:val="10"/>
          <w:sz w:val="22"/>
          <w:szCs w:val="28"/>
          <w:rtl/>
        </w:rPr>
        <w:t>עונשית</w:t>
      </w:r>
      <w:proofErr w:type="spellEnd"/>
      <w:r w:rsidRPr="007F5756">
        <w:rPr>
          <w:rFonts w:ascii="Arial TUR" w:hAnsi="Arial TUR" w:cs="FrankRuehl"/>
          <w:spacing w:val="10"/>
          <w:sz w:val="22"/>
          <w:szCs w:val="28"/>
          <w:rtl/>
        </w:rPr>
        <w:t xml:space="preserve"> בדיעבד בניגוד לעקרון החוקיות. בדרך</w:t>
      </w:r>
      <w:r w:rsidRPr="007F5756">
        <w:rPr>
          <w:rFonts w:ascii="Arial TUR" w:hAnsi="Arial TUR" w:cs="FrankRuehl" w:hint="cs"/>
          <w:spacing w:val="10"/>
          <w:sz w:val="22"/>
          <w:szCs w:val="28"/>
          <w:rtl/>
        </w:rPr>
        <w:t>-</w:t>
      </w:r>
      <w:r w:rsidRPr="007F5756">
        <w:rPr>
          <w:rFonts w:ascii="Arial TUR" w:hAnsi="Arial TUR" w:cs="FrankRuehl"/>
          <w:spacing w:val="10"/>
          <w:sz w:val="22"/>
          <w:szCs w:val="28"/>
          <w:rtl/>
        </w:rPr>
        <w:t xml:space="preserve">כלל הפרת אמונים המסווגת כהתנהגות פלילית ניתנת לזיהוי בידי עובד הציבור החב אמונים כלפי הציבור </w:t>
      </w:r>
      <w:r w:rsidRPr="007F5756">
        <w:rPr>
          <w:rFonts w:ascii="Arial TUR" w:hAnsi="Arial TUR" w:cs="FrankRuehl" w:hint="cs"/>
          <w:spacing w:val="10"/>
          <w:sz w:val="22"/>
          <w:szCs w:val="28"/>
          <w:rtl/>
        </w:rPr>
        <w:t>ש</w:t>
      </w:r>
      <w:r w:rsidRPr="007F5756">
        <w:rPr>
          <w:rFonts w:ascii="Arial TUR" w:hAnsi="Arial TUR" w:cs="FrankRuehl"/>
          <w:spacing w:val="10"/>
          <w:sz w:val="22"/>
          <w:szCs w:val="28"/>
          <w:rtl/>
        </w:rPr>
        <w:t>הוא משרת. התנהגות ברמת פסלות שהיא בת עונשין היא מסוג המעשים שכאשר אדם רואה אותם הוא מזהה את הפסול שבהם</w:t>
      </w:r>
      <w:r w:rsidRPr="007F5756">
        <w:rPr>
          <w:rFonts w:ascii="Arial TUR" w:hAnsi="Arial TUR" w:cs="FrankRuehl" w:hint="cs"/>
          <w:spacing w:val="10"/>
          <w:sz w:val="22"/>
          <w:szCs w:val="28"/>
          <w:rtl/>
        </w:rPr>
        <w:t xml:space="preserve">" (עניין </w:t>
      </w:r>
      <w:r w:rsidRPr="007F5756">
        <w:rPr>
          <w:rFonts w:ascii="Century" w:hAnsi="Century" w:cs="Miriam" w:hint="cs"/>
          <w:b/>
          <w:sz w:val="22"/>
          <w:rtl/>
        </w:rPr>
        <w:t>שבס</w:t>
      </w:r>
      <w:r w:rsidRPr="007F5756">
        <w:rPr>
          <w:rFonts w:ascii="Arial TUR" w:hAnsi="Arial TUR" w:cs="FrankRuehl" w:hint="cs"/>
          <w:spacing w:val="10"/>
          <w:sz w:val="22"/>
          <w:szCs w:val="28"/>
          <w:rtl/>
        </w:rPr>
        <w:t xml:space="preserve">, עמ' 457ה').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r w:rsidRPr="007F5756">
        <w:rPr>
          <w:rFonts w:ascii="Arial TUR" w:hAnsi="Arial TUR" w:cs="FrankRuehl" w:hint="cs"/>
          <w:spacing w:val="10"/>
          <w:sz w:val="22"/>
          <w:szCs w:val="28"/>
          <w:rtl/>
        </w:rPr>
        <w:t xml:space="preserve">אכן, לא ניתן להגדיר </w:t>
      </w:r>
      <w:r>
        <w:rPr>
          <w:rFonts w:ascii="Arial TUR" w:hAnsi="Arial TUR" w:cs="FrankRuehl" w:hint="cs"/>
          <w:spacing w:val="10"/>
          <w:sz w:val="22"/>
          <w:szCs w:val="28"/>
          <w:rtl/>
        </w:rPr>
        <w:t>מראש באופן מלא ובמדויק</w:t>
      </w:r>
      <w:r w:rsidRPr="007F5756">
        <w:rPr>
          <w:rFonts w:ascii="Arial TUR" w:hAnsi="Arial TUR" w:cs="FrankRuehl" w:hint="cs"/>
          <w:spacing w:val="10"/>
          <w:sz w:val="22"/>
          <w:szCs w:val="28"/>
          <w:rtl/>
        </w:rPr>
        <w:t xml:space="preserve"> את אופי וכמות המעשים הפסולים שהצטברותם תגבש, במסגרת תזת הצבירה, מעשה של הפרת אמונים. כך קשה גם לעשות לעניין אופיו והיקפו של המעשה הפסול הבודד, שלא במסגרת התזה. ברם, בשני המקרים דומה כי אמת המידה של מעשה הפוגע באופן מהותי בערכים המוגנים על ידי העבירה והמבחנים שנקבעו לעניין זה בפסיקה, מאפשרים לנו לזהות בזמן אמת את ההתנהגות שהיא חמורה עד כדי כך שהיא חוצה את הרף הפלילי.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hint="cs"/>
          <w:spacing w:val="10"/>
          <w:sz w:val="22"/>
          <w:szCs w:val="28"/>
          <w:rtl/>
        </w:rPr>
        <w:t>14.</w:t>
      </w:r>
      <w:r w:rsidRPr="007F5756">
        <w:rPr>
          <w:rFonts w:ascii="Arial TUR" w:hAnsi="Arial TUR" w:cs="FrankRuehl"/>
          <w:spacing w:val="10"/>
          <w:sz w:val="22"/>
          <w:szCs w:val="28"/>
          <w:rtl/>
        </w:rPr>
        <w:tab/>
      </w:r>
      <w:r w:rsidRPr="007F5756">
        <w:rPr>
          <w:rFonts w:ascii="Arial TUR" w:hAnsi="Arial TUR" w:cs="FrankRuehl" w:hint="cs"/>
          <w:spacing w:val="10"/>
          <w:sz w:val="22"/>
          <w:szCs w:val="28"/>
          <w:rtl/>
        </w:rPr>
        <w:t xml:space="preserve">בהקשר זה של מידת הוודאות בגדר איסורים פליליים, ניתן לומר גם זאת. המקרה שבו בית המשפט יוצק תוכן להגדרות כלליות בדין </w:t>
      </w:r>
      <w:proofErr w:type="spellStart"/>
      <w:r w:rsidRPr="007F5756">
        <w:rPr>
          <w:rFonts w:ascii="Arial TUR" w:hAnsi="Arial TUR" w:cs="FrankRuehl" w:hint="cs"/>
          <w:spacing w:val="10"/>
          <w:sz w:val="22"/>
          <w:szCs w:val="28"/>
          <w:rtl/>
        </w:rPr>
        <w:t>העונשי</w:t>
      </w:r>
      <w:proofErr w:type="spellEnd"/>
      <w:r w:rsidRPr="007F5756">
        <w:rPr>
          <w:rFonts w:ascii="Arial TUR" w:hAnsi="Arial TUR" w:cs="FrankRuehl" w:hint="cs"/>
          <w:spacing w:val="10"/>
          <w:sz w:val="22"/>
          <w:szCs w:val="28"/>
          <w:rtl/>
        </w:rPr>
        <w:t xml:space="preserve">, אינו מיוחד לעבירת הפרת </w:t>
      </w:r>
      <w:r w:rsidRPr="007F5756">
        <w:rPr>
          <w:rFonts w:ascii="Arial TUR" w:hAnsi="Arial TUR" w:cs="FrankRuehl" w:hint="cs"/>
          <w:spacing w:val="10"/>
          <w:sz w:val="22"/>
          <w:szCs w:val="28"/>
          <w:rtl/>
        </w:rPr>
        <w:lastRenderedPageBreak/>
        <w:t xml:space="preserve">האמונים ולמקרה הספציפי של תזת הצבירה. כך לדוגמה, בעבירה של גרימת מוות ברשלנות יש ולא ניתן לדעת אם התקיימה "רשלנות" רק לאחר מעשה, ולעיתים הפסיקה אף קובעת חידוש בנושא (ראו למשל, לעניין נסיעה לאחור תוך הסתייעות במכוון: </w:t>
      </w:r>
      <w:r w:rsidRPr="007F5756">
        <w:rPr>
          <w:rFonts w:ascii="Arial TUR" w:hAnsi="Arial TUR" w:cs="FrankRuehl"/>
          <w:spacing w:val="10"/>
          <w:sz w:val="22"/>
          <w:szCs w:val="28"/>
          <w:rtl/>
        </w:rPr>
        <w:t xml:space="preserve">ד"נ </w:t>
      </w:r>
      <w:r w:rsidRPr="007F5756">
        <w:rPr>
          <w:rFonts w:ascii="Arial TUR" w:hAnsi="Arial TUR" w:cs="FrankRuehl" w:hint="cs"/>
          <w:spacing w:val="10"/>
          <w:sz w:val="22"/>
          <w:szCs w:val="28"/>
          <w:rtl/>
        </w:rPr>
        <w:t>22/83</w:t>
      </w:r>
      <w:r w:rsidRPr="007F5756">
        <w:rPr>
          <w:rFonts w:ascii="Arial TUR" w:hAnsi="Arial TUR" w:cs="FrankRuehl"/>
          <w:spacing w:val="10"/>
          <w:sz w:val="22"/>
          <w:szCs w:val="28"/>
          <w:rtl/>
        </w:rPr>
        <w:t xml:space="preserve"> </w:t>
      </w:r>
      <w:r w:rsidRPr="007F5756">
        <w:rPr>
          <w:rFonts w:ascii="Miriam" w:hAnsi="Miriam" w:cs="Miriam"/>
          <w:spacing w:val="10"/>
          <w:rtl/>
        </w:rPr>
        <w:t>מדינת ישראל נ' חדריה</w:t>
      </w:r>
      <w:r w:rsidRPr="007F5756">
        <w:rPr>
          <w:rFonts w:ascii="Arial TUR" w:hAnsi="Arial TUR" w:cs="FrankRuehl"/>
          <w:spacing w:val="10"/>
          <w:rtl/>
        </w:rPr>
        <w:t xml:space="preserve"> </w:t>
      </w:r>
      <w:r w:rsidRPr="007F5756">
        <w:rPr>
          <w:rFonts w:ascii="Arial TUR" w:hAnsi="Arial TUR" w:cs="FrankRuehl"/>
          <w:spacing w:val="10"/>
          <w:sz w:val="22"/>
          <w:szCs w:val="28"/>
          <w:rtl/>
        </w:rPr>
        <w:t xml:space="preserve">, </w:t>
      </w:r>
      <w:r>
        <w:rPr>
          <w:rFonts w:ascii="Arial TUR" w:hAnsi="Arial TUR" w:cs="FrankRuehl" w:hint="cs"/>
          <w:spacing w:val="10"/>
          <w:sz w:val="22"/>
          <w:szCs w:val="28"/>
          <w:rtl/>
        </w:rPr>
        <w:t xml:space="preserve">פ"ד </w:t>
      </w:r>
      <w:r w:rsidRPr="007F5756">
        <w:rPr>
          <w:rFonts w:ascii="Arial TUR" w:hAnsi="Arial TUR" w:cs="FrankRuehl"/>
          <w:spacing w:val="10"/>
          <w:sz w:val="22"/>
          <w:szCs w:val="28"/>
          <w:rtl/>
        </w:rPr>
        <w:t>לח(2) 285</w:t>
      </w:r>
      <w:r w:rsidRPr="007F5756">
        <w:rPr>
          <w:rFonts w:ascii="Arial TUR" w:hAnsi="Arial TUR" w:cs="FrankRuehl" w:hint="cs"/>
          <w:spacing w:val="10"/>
          <w:sz w:val="22"/>
          <w:szCs w:val="28"/>
          <w:rtl/>
        </w:rPr>
        <w:t xml:space="preserve"> (1984)). הגדרה כללית נוספת מצויה בסיפא סעיף 415 לחוק העונשין, המתייחס לקבלת דבר במרמה "בנסיבות מחמירות" כ</w:t>
      </w:r>
      <w:r>
        <w:rPr>
          <w:rFonts w:ascii="Arial TUR" w:hAnsi="Arial TUR" w:cs="FrankRuehl" w:hint="cs"/>
          <w:spacing w:val="10"/>
          <w:sz w:val="22"/>
          <w:szCs w:val="28"/>
          <w:rtl/>
        </w:rPr>
        <w:t xml:space="preserve">אל </w:t>
      </w:r>
      <w:r w:rsidRPr="007F5756">
        <w:rPr>
          <w:rFonts w:ascii="Arial TUR" w:hAnsi="Arial TUR" w:cs="FrankRuehl" w:hint="cs"/>
          <w:spacing w:val="10"/>
          <w:sz w:val="22"/>
          <w:szCs w:val="28"/>
          <w:rtl/>
        </w:rPr>
        <w:t>עבירה עצמאית. בהעדר פירוט של נסיבות אלה בחוק, הפסיקה מאתרת את המקרים הנופלים בגדר</w:t>
      </w:r>
      <w:r>
        <w:rPr>
          <w:rFonts w:ascii="Arial TUR" w:hAnsi="Arial TUR" w:cs="FrankRuehl" w:hint="cs"/>
          <w:spacing w:val="10"/>
          <w:sz w:val="22"/>
          <w:szCs w:val="28"/>
          <w:rtl/>
        </w:rPr>
        <w:t>ן בין היתר באמצעות</w:t>
      </w:r>
      <w:r w:rsidRPr="007F5756">
        <w:rPr>
          <w:rFonts w:ascii="Arial TUR" w:hAnsi="Arial TUR" w:cs="FrankRuehl" w:hint="cs"/>
          <w:spacing w:val="10"/>
          <w:sz w:val="22"/>
          <w:szCs w:val="28"/>
          <w:rtl/>
        </w:rPr>
        <w:t xml:space="preserve"> אמות מידה כמותיות כגון היקף המרמה והתמשכות המעשים, בדומה לנעשה בעבירת הפרת אמונים (ע"פ 98/88 </w:t>
      </w:r>
      <w:r w:rsidRPr="007F5756">
        <w:rPr>
          <w:rFonts w:ascii="Miriam" w:hAnsi="Miriam" w:cs="Miriam"/>
          <w:spacing w:val="10"/>
          <w:rtl/>
        </w:rPr>
        <w:t>בלאס נ' מדינת ישראל</w:t>
      </w:r>
      <w:r w:rsidRPr="007F5756">
        <w:rPr>
          <w:rFonts w:ascii="Arial TUR" w:hAnsi="Arial TUR" w:cs="FrankRuehl" w:hint="cs"/>
          <w:spacing w:val="10"/>
          <w:sz w:val="22"/>
          <w:szCs w:val="28"/>
          <w:rtl/>
        </w:rPr>
        <w:t xml:space="preserve">, פ"ד מד(4) 705, 742א'-ב' (1990); ע"פ </w:t>
      </w:r>
      <w:r w:rsidRPr="007F5756">
        <w:rPr>
          <w:rFonts w:ascii="Miriam" w:hAnsi="Miriam" w:cs="Miriam"/>
          <w:spacing w:val="10"/>
          <w:rtl/>
        </w:rPr>
        <w:t>גולד נ' מדינת ישראל</w:t>
      </w:r>
      <w:r w:rsidRPr="007F5756">
        <w:rPr>
          <w:rFonts w:ascii="Arial TUR" w:hAnsi="Arial TUR" w:cs="FrankRuehl" w:hint="cs"/>
          <w:spacing w:val="10"/>
          <w:sz w:val="22"/>
          <w:szCs w:val="28"/>
          <w:rtl/>
        </w:rPr>
        <w:t xml:space="preserve">, פסקה 61 (2.9.2012)).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r w:rsidRPr="007F5756">
        <w:rPr>
          <w:rFonts w:ascii="Arial TUR" w:hAnsi="Arial TUR" w:cs="FrankRuehl" w:hint="cs"/>
          <w:spacing w:val="10"/>
          <w:sz w:val="22"/>
          <w:szCs w:val="28"/>
          <w:rtl/>
        </w:rPr>
        <w:t xml:space="preserve">דוגמה נוספת ועכשווית יותר היא זו של עבירת הרצח בנסיבות מחמירות. על-פי תיקון 137 לחוק העונשין, עבירה זו נבדלת ביסודותיה מעבירת הרצח "הרגילה". השוני מתבטא גם בענישה, בכך שבעבירת הרצח "הרגילה" העונש המקסימאלי הוא מאסר עולם, בעוד שברצח בנסיבות מחמירות מאסר עולם הוא עונש חובה (סעיפים 300 ו-301א לחוק העונשין). העבירה של רצח בנסיבות מחמירות כוללת מספר חלופות, בהן כאלה שיסודותיהן ברורים יותר, כגון רצח שבוצע תוך סיכון חיי אדם שלישי. אך מה לגבי החלופה בסעיף 301א7 לחוק, של רצח הנעשה "באכזריות מיוחדת"? לא ניתן לקבוע מראש את כלל הנסיבות שיענו להגדרה זו. כך למשל, בע"פ 8363/19 </w:t>
      </w:r>
      <w:r w:rsidRPr="007F5756">
        <w:rPr>
          <w:rFonts w:ascii="Miriam" w:hAnsi="Miriam" w:cs="Miriam"/>
          <w:spacing w:val="10"/>
          <w:rtl/>
        </w:rPr>
        <w:t>גרנות נ' מדינת ישראל</w:t>
      </w:r>
      <w:r w:rsidRPr="007F5756">
        <w:rPr>
          <w:rFonts w:ascii="Arial TUR" w:hAnsi="Arial TUR" w:cs="FrankRuehl" w:hint="cs"/>
          <w:spacing w:val="10"/>
          <w:sz w:val="22"/>
          <w:szCs w:val="28"/>
          <w:rtl/>
        </w:rPr>
        <w:t xml:space="preserve"> (8.6.2021) נפסק כי הכאת הקורבן באמצעות פטיש 19 פעמים</w:t>
      </w:r>
      <w:r>
        <w:rPr>
          <w:rFonts w:ascii="Arial TUR" w:hAnsi="Arial TUR" w:cs="FrankRuehl" w:hint="cs"/>
          <w:spacing w:val="10"/>
          <w:sz w:val="22"/>
          <w:szCs w:val="28"/>
          <w:rtl/>
        </w:rPr>
        <w:t xml:space="preserve"> בפניה</w:t>
      </w:r>
      <w:r w:rsidRPr="007F5756">
        <w:rPr>
          <w:rFonts w:ascii="Arial TUR" w:hAnsi="Arial TUR" w:cs="FrankRuehl" w:hint="cs"/>
          <w:spacing w:val="10"/>
          <w:sz w:val="22"/>
          <w:szCs w:val="28"/>
          <w:rtl/>
        </w:rPr>
        <w:t xml:space="preserve">, מקיימת, בהצטרף ליתר הנסיבות, את ההגדרה האמורה. אך מה אם היה מדובר ב-3 מכות </w:t>
      </w:r>
      <w:r>
        <w:rPr>
          <w:rFonts w:ascii="Arial TUR" w:hAnsi="Arial TUR" w:cs="FrankRuehl" w:hint="cs"/>
          <w:spacing w:val="10"/>
          <w:sz w:val="22"/>
          <w:szCs w:val="28"/>
          <w:rtl/>
        </w:rPr>
        <w:t xml:space="preserve">פטיש, </w:t>
      </w:r>
      <w:r w:rsidRPr="007F5756">
        <w:rPr>
          <w:rFonts w:ascii="Arial TUR" w:hAnsi="Arial TUR" w:cs="FrankRuehl" w:hint="cs"/>
          <w:spacing w:val="10"/>
          <w:sz w:val="22"/>
          <w:szCs w:val="28"/>
          <w:rtl/>
        </w:rPr>
        <w:t>או ב-7? קו הגבול המדויק אינו ידוע מראש. (שם, פסקאות 14 ו-16). האם יש פגיעה בעקרון החוקיות כי הקביעה תיעשה לאחר מעשה הקטילה, ולא לפני</w:t>
      </w:r>
      <w:r>
        <w:rPr>
          <w:rFonts w:ascii="Arial TUR" w:hAnsi="Arial TUR" w:cs="FrankRuehl" w:hint="cs"/>
          <w:spacing w:val="10"/>
          <w:sz w:val="22"/>
          <w:szCs w:val="28"/>
          <w:rtl/>
        </w:rPr>
        <w:t>ו</w:t>
      </w:r>
      <w:r w:rsidRPr="007F5756">
        <w:rPr>
          <w:rFonts w:ascii="Arial TUR" w:hAnsi="Arial TUR" w:cs="FrankRuehl" w:hint="cs"/>
          <w:spacing w:val="10"/>
          <w:sz w:val="22"/>
          <w:szCs w:val="28"/>
          <w:rtl/>
        </w:rPr>
        <w:t>?</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r w:rsidRPr="007F5756">
        <w:rPr>
          <w:rFonts w:ascii="Arial TUR" w:hAnsi="Arial TUR" w:cs="FrankRuehl" w:hint="cs"/>
          <w:spacing w:val="10"/>
          <w:sz w:val="22"/>
          <w:szCs w:val="28"/>
          <w:rtl/>
        </w:rPr>
        <w:t xml:space="preserve">בכל אותם מקרים, כמו במקרה של עבירת הפרת האמונים והחלת תזת הצבירה במסגרתה, נדרש בית המשפט ליישם את הדין חרף כלליות ההגדרות. כמובן </w:t>
      </w:r>
      <w:r>
        <w:rPr>
          <w:rFonts w:ascii="Arial TUR" w:hAnsi="Arial TUR" w:cs="FrankRuehl" w:hint="cs"/>
          <w:spacing w:val="10"/>
          <w:sz w:val="22"/>
          <w:szCs w:val="28"/>
          <w:rtl/>
        </w:rPr>
        <w:t xml:space="preserve">שניתן להשיב לכך, כי </w:t>
      </w:r>
      <w:r w:rsidRPr="007F5756">
        <w:rPr>
          <w:rFonts w:ascii="Arial TUR" w:hAnsi="Arial TUR" w:cs="FrankRuehl" w:hint="cs"/>
          <w:spacing w:val="10"/>
          <w:sz w:val="22"/>
          <w:szCs w:val="28"/>
          <w:rtl/>
        </w:rPr>
        <w:t>הבאת דוגמאות נוספות אינה בגדר תשובה, אלא רק מעלה שאלות נוספות בדבר החוקיות של הדוגמאות שהובאו. לכן, נעלה קומה אחת נוספת</w:t>
      </w:r>
      <w:r>
        <w:rPr>
          <w:rFonts w:ascii="Arial TUR" w:hAnsi="Arial TUR" w:cs="FrankRuehl" w:hint="cs"/>
          <w:spacing w:val="10"/>
          <w:sz w:val="22"/>
          <w:szCs w:val="28"/>
          <w:rtl/>
        </w:rPr>
        <w:t xml:space="preserve"> בהסבר</w:t>
      </w:r>
      <w:r w:rsidRPr="007F5756">
        <w:rPr>
          <w:rFonts w:ascii="Arial TUR" w:hAnsi="Arial TUR" w:cs="FrankRuehl" w:hint="cs"/>
          <w:spacing w:val="10"/>
          <w:sz w:val="22"/>
          <w:szCs w:val="28"/>
          <w:rtl/>
        </w:rPr>
        <w:t xml:space="preserve">.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r w:rsidRPr="007F5756">
        <w:rPr>
          <w:rFonts w:ascii="Arial TUR" w:hAnsi="Arial TUR" w:cs="FrankRuehl" w:hint="cs"/>
          <w:spacing w:val="10"/>
          <w:sz w:val="22"/>
          <w:szCs w:val="28"/>
          <w:rtl/>
        </w:rPr>
        <w:t>על</w:t>
      </w:r>
      <w:r>
        <w:rPr>
          <w:rFonts w:ascii="Arial TUR" w:hAnsi="Arial TUR" w:cs="FrankRuehl" w:hint="cs"/>
          <w:spacing w:val="10"/>
          <w:sz w:val="22"/>
          <w:szCs w:val="28"/>
          <w:rtl/>
        </w:rPr>
        <w:t xml:space="preserve"> אף שהגדרות כלליות מן הסוג המתואר </w:t>
      </w:r>
      <w:r w:rsidRPr="007F5756">
        <w:rPr>
          <w:rFonts w:ascii="Arial TUR" w:hAnsi="Arial TUR" w:cs="FrankRuehl" w:hint="cs"/>
          <w:spacing w:val="10"/>
          <w:sz w:val="22"/>
          <w:szCs w:val="28"/>
          <w:rtl/>
        </w:rPr>
        <w:t xml:space="preserve">אינן מספקות ודאות גמורה, הן חיוניות לקביעת איסורים אשר מבחינה חברתית ותכליתית יש להם מקום. אם לא נאפשר את השימוש בהגדרות </w:t>
      </w:r>
      <w:r>
        <w:rPr>
          <w:rFonts w:ascii="Arial TUR" w:hAnsi="Arial TUR" w:cs="FrankRuehl" w:hint="cs"/>
          <w:spacing w:val="10"/>
          <w:sz w:val="22"/>
          <w:szCs w:val="28"/>
          <w:rtl/>
        </w:rPr>
        <w:t>מסוג זה</w:t>
      </w:r>
      <w:r w:rsidRPr="007F5756">
        <w:rPr>
          <w:rFonts w:ascii="Arial TUR" w:hAnsi="Arial TUR" w:cs="FrankRuehl" w:hint="cs"/>
          <w:spacing w:val="10"/>
          <w:sz w:val="22"/>
          <w:szCs w:val="28"/>
          <w:rtl/>
        </w:rPr>
        <w:t xml:space="preserve">, נפגע באחד מן היעדים המרכזיים של הדין הפלילי, להגן על החברה מפני פגיעה בה או ביחידים </w:t>
      </w:r>
      <w:r>
        <w:rPr>
          <w:rFonts w:ascii="Arial TUR" w:hAnsi="Arial TUR" w:cs="FrankRuehl" w:hint="cs"/>
          <w:spacing w:val="10"/>
          <w:sz w:val="22"/>
          <w:szCs w:val="28"/>
          <w:rtl/>
        </w:rPr>
        <w:t>בתוכה. כך בגדר הכלל במשפט העברי,</w:t>
      </w:r>
      <w:r w:rsidRPr="007F5756">
        <w:rPr>
          <w:rFonts w:ascii="Arial TUR" w:hAnsi="Arial TUR" w:cs="FrankRuehl" w:hint="cs"/>
          <w:spacing w:val="10"/>
          <w:sz w:val="22"/>
          <w:szCs w:val="28"/>
          <w:rtl/>
        </w:rPr>
        <w:t xml:space="preserve"> "וביערת הרע מקרבך" (דברים י"ז, ז). פגיעה כזו באה לעיתים בדרך של התנהגות שבשל אופייה קשה </w:t>
      </w:r>
      <w:proofErr w:type="spellStart"/>
      <w:r w:rsidRPr="007F5756">
        <w:rPr>
          <w:rFonts w:ascii="Arial TUR" w:hAnsi="Arial TUR" w:cs="FrankRuehl" w:hint="cs"/>
          <w:spacing w:val="10"/>
          <w:sz w:val="22"/>
          <w:szCs w:val="28"/>
          <w:rtl/>
        </w:rPr>
        <w:t>לצפותה</w:t>
      </w:r>
      <w:proofErr w:type="spellEnd"/>
      <w:r w:rsidRPr="007F5756">
        <w:rPr>
          <w:rFonts w:ascii="Arial TUR" w:hAnsi="Arial TUR" w:cs="FrankRuehl" w:hint="cs"/>
          <w:spacing w:val="10"/>
          <w:sz w:val="22"/>
          <w:szCs w:val="28"/>
          <w:rtl/>
        </w:rPr>
        <w:t xml:space="preserve"> או להגדירה מראש במדויק בעת החקיקה. מכאן, הצורך של המחוקק </w:t>
      </w:r>
      <w:r w:rsidRPr="007F5756">
        <w:rPr>
          <w:rFonts w:ascii="Arial TUR" w:hAnsi="Arial TUR" w:cs="FrankRuehl" w:hint="cs"/>
          <w:spacing w:val="10"/>
          <w:sz w:val="22"/>
          <w:szCs w:val="28"/>
          <w:rtl/>
        </w:rPr>
        <w:lastRenderedPageBreak/>
        <w:t>לקב</w:t>
      </w:r>
      <w:r>
        <w:rPr>
          <w:rFonts w:ascii="Arial TUR" w:hAnsi="Arial TUR" w:cs="FrankRuehl" w:hint="cs"/>
          <w:spacing w:val="10"/>
          <w:sz w:val="22"/>
          <w:szCs w:val="28"/>
          <w:rtl/>
        </w:rPr>
        <w:t>וע בהקשרים אלה "רקמה פתוחה" בגדר</w:t>
      </w:r>
      <w:r w:rsidRPr="007F5756">
        <w:rPr>
          <w:rFonts w:ascii="Arial TUR" w:hAnsi="Arial TUR" w:cs="FrankRuehl" w:hint="cs"/>
          <w:spacing w:val="10"/>
          <w:sz w:val="22"/>
          <w:szCs w:val="28"/>
          <w:rtl/>
        </w:rPr>
        <w:t xml:space="preserve"> הנורמה. בהקשר זה, יפה בעיניי הערת</w:t>
      </w:r>
      <w:r>
        <w:rPr>
          <w:rFonts w:ascii="Arial TUR" w:hAnsi="Arial TUR" w:cs="FrankRuehl" w:hint="cs"/>
          <w:spacing w:val="10"/>
          <w:sz w:val="22"/>
          <w:szCs w:val="28"/>
          <w:rtl/>
        </w:rPr>
        <w:t>ו של</w:t>
      </w:r>
      <w:r w:rsidRPr="007F5756">
        <w:rPr>
          <w:rFonts w:ascii="Arial TUR" w:hAnsi="Arial TUR" w:cs="FrankRuehl" w:hint="cs"/>
          <w:spacing w:val="10"/>
          <w:sz w:val="22"/>
          <w:szCs w:val="28"/>
          <w:rtl/>
        </w:rPr>
        <w:t xml:space="preserve"> השופט א' שטיין במאמר שכתב ביחס למשפט האמריקאי, שלפיה</w:t>
      </w:r>
      <w:r w:rsidRPr="007F5756">
        <w:rPr>
          <w:rFonts w:ascii="Arial TUR" w:hAnsi="Arial TUR" w:cs="FrankRuehl" w:hint="cs"/>
          <w:spacing w:val="10"/>
          <w:sz w:val="28"/>
          <w:szCs w:val="28"/>
          <w:rtl/>
        </w:rPr>
        <w:t xml:space="preserve"> </w:t>
      </w:r>
      <w:r w:rsidRPr="007F5756">
        <w:rPr>
          <w:rFonts w:ascii="Garamond" w:hAnsi="Garamond" w:cs="FrankRuehl"/>
          <w:spacing w:val="10"/>
          <w:sz w:val="28"/>
          <w:szCs w:val="28"/>
          <w:rtl/>
        </w:rPr>
        <w:t>"</w:t>
      </w:r>
      <w:r w:rsidRPr="007F5756">
        <w:rPr>
          <w:rFonts w:ascii="Garamond" w:hAnsi="Garamond" w:cs="Times New Roman"/>
          <w:spacing w:val="10"/>
          <w:sz w:val="24"/>
        </w:rPr>
        <w:t>being general is different from being vague</w:t>
      </w:r>
      <w:r w:rsidRPr="007F5756">
        <w:rPr>
          <w:rFonts w:ascii="Garamond" w:hAnsi="Garamond" w:cs="FrankRuehl"/>
          <w:spacing w:val="10"/>
          <w:sz w:val="28"/>
          <w:szCs w:val="28"/>
          <w:rtl/>
        </w:rPr>
        <w:t>"</w:t>
      </w:r>
      <w:r w:rsidRPr="007F5756">
        <w:rPr>
          <w:rFonts w:ascii="FrankRuehl" w:hAnsi="FrankRuehl" w:cs="FrankRuehl"/>
          <w:spacing w:val="10"/>
          <w:sz w:val="28"/>
          <w:szCs w:val="28"/>
          <w:rtl/>
        </w:rPr>
        <w:t>.</w:t>
      </w:r>
      <w:r>
        <w:rPr>
          <w:rFonts w:ascii="FrankRuehl" w:hAnsi="FrankRuehl" w:cs="FrankRuehl" w:hint="cs"/>
          <w:spacing w:val="10"/>
          <w:sz w:val="28"/>
          <w:szCs w:val="28"/>
          <w:rtl/>
        </w:rPr>
        <w:t xml:space="preserve"> </w:t>
      </w:r>
      <w:r w:rsidRPr="007F5756">
        <w:rPr>
          <w:rFonts w:ascii="FrankRuehl" w:hAnsi="FrankRuehl" w:cs="FrankRuehl"/>
          <w:spacing w:val="10"/>
          <w:sz w:val="28"/>
          <w:szCs w:val="28"/>
          <w:rtl/>
        </w:rPr>
        <w:t>(</w:t>
      </w:r>
      <w:r w:rsidRPr="007F5756">
        <w:rPr>
          <w:rFonts w:ascii="Garamond" w:hAnsi="Garamond" w:cs="Times New Roman"/>
          <w:spacing w:val="10"/>
          <w:sz w:val="24"/>
        </w:rPr>
        <w:t xml:space="preserve">Alex </w:t>
      </w:r>
      <w:r w:rsidRPr="007F5756">
        <w:rPr>
          <w:rFonts w:ascii="Garamond" w:hAnsi="Garamond" w:cs="Times New Roman" w:hint="cs"/>
          <w:spacing w:val="10"/>
          <w:sz w:val="24"/>
        </w:rPr>
        <w:t>S</w:t>
      </w:r>
      <w:r w:rsidRPr="007F5756">
        <w:rPr>
          <w:rFonts w:ascii="Garamond" w:hAnsi="Garamond" w:cs="Times New Roman"/>
          <w:spacing w:val="10"/>
          <w:sz w:val="24"/>
        </w:rPr>
        <w:t xml:space="preserve">tein, </w:t>
      </w:r>
      <w:r w:rsidRPr="007F5756">
        <w:rPr>
          <w:rFonts w:ascii="Garamond" w:hAnsi="Garamond" w:cs="Times New Roman"/>
          <w:i/>
          <w:iCs/>
          <w:spacing w:val="10"/>
          <w:sz w:val="24"/>
        </w:rPr>
        <w:t xml:space="preserve">Corrupt Intentions: Bribery, Unlawful Gratuity, and Honest-Services </w:t>
      </w:r>
      <w:r w:rsidRPr="007F5756">
        <w:rPr>
          <w:rFonts w:ascii="Garamond" w:hAnsi="Garamond" w:cs="Times New Roman"/>
          <w:spacing w:val="10"/>
          <w:sz w:val="24"/>
        </w:rPr>
        <w:t>Fraud, 75 </w:t>
      </w:r>
      <w:r w:rsidRPr="007F5756">
        <w:rPr>
          <w:rFonts w:ascii="Garamond" w:hAnsi="Garamond" w:cs="Times New Roman"/>
          <w:smallCaps/>
          <w:spacing w:val="10"/>
          <w:sz w:val="24"/>
        </w:rPr>
        <w:t>Law &amp; Contemp. .Probs</w:t>
      </w:r>
      <w:r w:rsidRPr="007F5756">
        <w:rPr>
          <w:rFonts w:ascii="Garamond" w:hAnsi="Garamond" w:cs="Times New Roman"/>
          <w:spacing w:val="10"/>
          <w:sz w:val="24"/>
        </w:rPr>
        <w:t>. 61, 80 (2012)</w:t>
      </w:r>
      <w:r w:rsidRPr="007F5756">
        <w:rPr>
          <w:rFonts w:cs="FrankRuehl" w:hint="cs"/>
          <w:spacing w:val="10"/>
          <w:sz w:val="28"/>
          <w:szCs w:val="28"/>
          <w:rtl/>
        </w:rPr>
        <w:t xml:space="preserve"> וראו את הדוגמה המובאת שם ביחס לעבירה הנוגעת ל-</w:t>
      </w:r>
      <w:r w:rsidRPr="007F5756">
        <w:rPr>
          <w:rFonts w:ascii="Garamond" w:hAnsi="Garamond" w:cs="Times New Roman"/>
          <w:spacing w:val="10"/>
          <w:sz w:val="24"/>
        </w:rPr>
        <w:t xml:space="preserve">conspiracy "to defraud the United States … in any manner or for any purpose". 18 U.S.C </w:t>
      </w:r>
      <w:r w:rsidRPr="007F5756">
        <w:rPr>
          <w:rFonts w:ascii="Garamond" w:hAnsi="Garamond" w:cs="Times New Roman"/>
          <w:color w:val="333333"/>
          <w:spacing w:val="10"/>
          <w:sz w:val="24"/>
          <w:lang w:val="en"/>
        </w:rPr>
        <w:t>§</w:t>
      </w:r>
      <w:r w:rsidRPr="007F5756">
        <w:rPr>
          <w:rFonts w:ascii="Garamond" w:hAnsi="Garamond" w:cs="Times New Roman"/>
          <w:spacing w:val="10"/>
          <w:sz w:val="24"/>
        </w:rPr>
        <w:t xml:space="preserve"> 371 (2006)</w:t>
      </w:r>
      <w:r>
        <w:rPr>
          <w:rFonts w:ascii="Garamond" w:hAnsi="Garamond" w:cs="Times New Roman"/>
          <w:spacing w:val="10"/>
          <w:sz w:val="24"/>
        </w:rPr>
        <w:t>.</w:t>
      </w:r>
      <w:r w:rsidRPr="007F5756">
        <w:rPr>
          <w:rFonts w:ascii="Arial TUR" w:hAnsi="Arial TUR" w:cs="FrankRuehl" w:hint="cs"/>
          <w:spacing w:val="10"/>
          <w:sz w:val="28"/>
          <w:szCs w:val="28"/>
          <w:rtl/>
        </w:rPr>
        <w:t xml:space="preserve">). </w:t>
      </w:r>
      <w:r w:rsidRPr="007F5756">
        <w:rPr>
          <w:rFonts w:ascii="Arial TUR" w:hAnsi="Arial TUR" w:cs="FrankRuehl" w:hint="cs"/>
          <w:spacing w:val="10"/>
          <w:sz w:val="22"/>
          <w:szCs w:val="28"/>
          <w:rtl/>
        </w:rPr>
        <w:t xml:space="preserve">אכן, חקיקה כללית בפלילים שונה מחקיקה מעורפלת או עמומה, ואין בהכרח חפיפה בין השתיים. בנושא זה ציין הנשיא א' ברק בעניין </w:t>
      </w:r>
      <w:r w:rsidRPr="007F5756">
        <w:rPr>
          <w:rFonts w:ascii="Miriam" w:hAnsi="Miriam" w:cs="Miriam"/>
          <w:spacing w:val="10"/>
          <w:rtl/>
        </w:rPr>
        <w:t>שבס</w:t>
      </w:r>
      <w:r w:rsidRPr="007F5756">
        <w:rPr>
          <w:rFonts w:ascii="Arial TUR" w:hAnsi="Arial TUR" w:cs="FrankRuehl" w:hint="cs"/>
          <w:spacing w:val="10"/>
          <w:sz w:val="22"/>
          <w:szCs w:val="28"/>
          <w:rtl/>
        </w:rPr>
        <w:t xml:space="preserve"> כי:</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ind w:left="1644" w:right="1276"/>
        <w:jc w:val="both"/>
        <w:rPr>
          <w:rFonts w:ascii="Arial TUR" w:hAnsi="Arial TUR" w:cs="FrankRuehl"/>
          <w:spacing w:val="10"/>
          <w:sz w:val="22"/>
          <w:szCs w:val="28"/>
          <w:rtl/>
        </w:rPr>
      </w:pPr>
      <w:r w:rsidRPr="007F5756">
        <w:rPr>
          <w:rFonts w:ascii="Arial TUR" w:hAnsi="Arial TUR" w:cs="FrankRuehl"/>
          <w:spacing w:val="10"/>
          <w:sz w:val="22"/>
          <w:szCs w:val="28"/>
          <w:rtl/>
        </w:rPr>
        <w:tab/>
      </w:r>
      <w:r w:rsidRPr="007F5756">
        <w:rPr>
          <w:rFonts w:ascii="Arial TUR" w:hAnsi="Arial TUR" w:cs="FrankRuehl" w:hint="cs"/>
          <w:spacing w:val="10"/>
          <w:sz w:val="22"/>
          <w:szCs w:val="28"/>
          <w:rtl/>
        </w:rPr>
        <w:t>"הוראה בחוק אינה 'סתומה' (</w:t>
      </w:r>
      <w:r w:rsidRPr="007F5756">
        <w:rPr>
          <w:rFonts w:ascii="Arial TUR" w:hAnsi="Arial TUR" w:cs="FrankRuehl"/>
          <w:spacing w:val="10"/>
          <w:sz w:val="22"/>
          <w:szCs w:val="28"/>
        </w:rPr>
        <w:t>vague</w:t>
      </w:r>
      <w:r w:rsidRPr="007F5756">
        <w:rPr>
          <w:rFonts w:ascii="Arial TUR" w:hAnsi="Arial TUR" w:cs="FrankRuehl" w:hint="cs"/>
          <w:spacing w:val="10"/>
          <w:sz w:val="22"/>
          <w:szCs w:val="28"/>
          <w:rtl/>
        </w:rPr>
        <w:t xml:space="preserve">) רק משום שהיא משתמשת בהכללה, ובלבד שניתן להסיק מההכללה, תוך שימוש בכללי הפרשנות המקובלים, אמת מידה שיש בה כדי לכוון התנהגות ברמת ודאות התואמת את העניין. רמת ודאות זו צריכה להיות גבוהה בתחום הפלילי, עם זאת אין לדרוש ודאות מוחלטת". (עניין </w:t>
      </w:r>
      <w:r w:rsidRPr="007F5756">
        <w:rPr>
          <w:rFonts w:ascii="Miriam" w:hAnsi="Miriam" w:cs="Miriam"/>
          <w:spacing w:val="10"/>
          <w:rtl/>
        </w:rPr>
        <w:t>שבס</w:t>
      </w:r>
      <w:r w:rsidRPr="007F5756">
        <w:rPr>
          <w:rFonts w:ascii="Arial TUR" w:hAnsi="Arial TUR" w:cs="FrankRuehl" w:hint="cs"/>
          <w:spacing w:val="10"/>
          <w:sz w:val="22"/>
          <w:szCs w:val="28"/>
          <w:rtl/>
        </w:rPr>
        <w:t xml:space="preserve">, עמ' 407ב'-ג').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proofErr w:type="spellStart"/>
      <w:r w:rsidRPr="007F5756">
        <w:rPr>
          <w:rFonts w:ascii="Arial TUR" w:hAnsi="Arial TUR" w:cs="FrankRuehl" w:hint="cs"/>
          <w:spacing w:val="10"/>
          <w:sz w:val="22"/>
          <w:szCs w:val="28"/>
          <w:rtl/>
        </w:rPr>
        <w:t>ודוקו</w:t>
      </w:r>
      <w:proofErr w:type="spellEnd"/>
      <w:r w:rsidRPr="007F5756">
        <w:rPr>
          <w:rFonts w:ascii="Arial TUR" w:hAnsi="Arial TUR" w:cs="FrankRuehl" w:hint="cs"/>
          <w:spacing w:val="10"/>
          <w:sz w:val="22"/>
          <w:szCs w:val="28"/>
          <w:rtl/>
        </w:rPr>
        <w:t xml:space="preserve">: היתרון בחקיקה פלילית כללית אינו מבטל את החולשה בחקיקה פלילית עמומה. נדרש איזון עדין בין האינטרס הציבורי המחייב את השימוש בנורמה הכללית, לבין זכויות הנאשם המחייבות כי נורמה זו תתפרש באופן המביא לוודאות המרבית המתאפשרת בנסיבות העניין. בית המשפט העליון נהג כך בדרך שבה פירש את עבירת הפרת האמונים בעניין </w:t>
      </w:r>
      <w:r w:rsidRPr="007F5756">
        <w:rPr>
          <w:rFonts w:ascii="Miriam" w:hAnsi="Miriam" w:cs="Miriam" w:hint="eastAsia"/>
          <w:spacing w:val="10"/>
          <w:rtl/>
        </w:rPr>
        <w:t>שבס</w:t>
      </w:r>
      <w:r w:rsidRPr="007F5756">
        <w:rPr>
          <w:rFonts w:ascii="Arial TUR" w:hAnsi="Arial TUR" w:cs="FrankRuehl" w:hint="cs"/>
          <w:spacing w:val="10"/>
          <w:sz w:val="22"/>
          <w:szCs w:val="28"/>
          <w:rtl/>
        </w:rPr>
        <w:t xml:space="preserve">. כפי שצוין קודם, השימוש בתזת הצבירה תואם את המבחנים ואמות המידה שנקבעו באותו עניין. אף כי התזה אינה מספקת ודאות מוחלטת, היא מתבססת על אמות מידה מוגדרות וידועות מראש, והיא משרתת תכלית חברתית חשובה. תכלית זו היא ביעור התנהגויות שיש בהן משום השחתה של השירות הציבורי, המתבטאות בביצוע חוזר ונשנה של מעשים פסולים שלבדם אינם מגבשים את העבירה.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hint="cs"/>
          <w:spacing w:val="10"/>
          <w:sz w:val="22"/>
          <w:szCs w:val="28"/>
          <w:rtl/>
        </w:rPr>
        <w:t>15.</w:t>
      </w:r>
      <w:r w:rsidRPr="007F5756">
        <w:rPr>
          <w:rFonts w:ascii="Arial TUR" w:hAnsi="Arial TUR" w:cs="FrankRuehl"/>
          <w:spacing w:val="10"/>
          <w:sz w:val="22"/>
          <w:szCs w:val="28"/>
          <w:rtl/>
        </w:rPr>
        <w:tab/>
      </w:r>
      <w:r w:rsidRPr="007F5756">
        <w:rPr>
          <w:rFonts w:ascii="Arial TUR" w:hAnsi="Arial TUR" w:cs="FrankRuehl" w:hint="cs"/>
          <w:spacing w:val="10"/>
          <w:sz w:val="22"/>
          <w:szCs w:val="28"/>
          <w:rtl/>
        </w:rPr>
        <w:t>נסכם את האמור עד כה. הפסיקה הכירה בכך שהתנהגותו של עובד הציבור יכולה לגבש עבירה של הפרת אמונים</w:t>
      </w:r>
      <w:r>
        <w:rPr>
          <w:rFonts w:ascii="Arial TUR" w:hAnsi="Arial TUR" w:cs="FrankRuehl" w:hint="cs"/>
          <w:spacing w:val="10"/>
          <w:sz w:val="22"/>
          <w:szCs w:val="28"/>
          <w:rtl/>
        </w:rPr>
        <w:t>,</w:t>
      </w:r>
      <w:r w:rsidRPr="007F5756">
        <w:rPr>
          <w:rFonts w:ascii="Arial TUR" w:hAnsi="Arial TUR" w:cs="FrankRuehl" w:hint="cs"/>
          <w:spacing w:val="10"/>
          <w:sz w:val="22"/>
          <w:szCs w:val="28"/>
          <w:rtl/>
        </w:rPr>
        <w:t xml:space="preserve"> מבלי שיש צורך לבחון את פליליותו של כל מעשה ומעשה שבוצע</w:t>
      </w:r>
      <w:r>
        <w:rPr>
          <w:rFonts w:ascii="Arial TUR" w:hAnsi="Arial TUR" w:cs="FrankRuehl" w:hint="cs"/>
          <w:spacing w:val="10"/>
          <w:sz w:val="22"/>
          <w:szCs w:val="28"/>
          <w:rtl/>
        </w:rPr>
        <w:t xml:space="preserve"> במסגרתה</w:t>
      </w:r>
      <w:r w:rsidRPr="007F5756">
        <w:rPr>
          <w:rFonts w:ascii="Arial TUR" w:hAnsi="Arial TUR" w:cs="FrankRuehl" w:hint="cs"/>
          <w:spacing w:val="10"/>
          <w:sz w:val="22"/>
          <w:szCs w:val="28"/>
          <w:rtl/>
        </w:rPr>
        <w:t xml:space="preserve">, ותוך התייחסות להצטברות המעשים השונים. האפשרות לבסס את העבירה על מצבור מעשים כזה כאשר כל מעשה לבדו אינו חוצה את הרף הפלילי </w:t>
      </w:r>
      <w:r w:rsidRPr="007F5756">
        <w:rPr>
          <w:rFonts w:ascii="Arial TUR" w:hAnsi="Arial TUR" w:cs="FrankRuehl"/>
          <w:spacing w:val="10"/>
          <w:sz w:val="22"/>
          <w:szCs w:val="28"/>
          <w:rtl/>
        </w:rPr>
        <w:t>–</w:t>
      </w:r>
      <w:r w:rsidRPr="007F5756">
        <w:rPr>
          <w:rFonts w:ascii="Arial TUR" w:hAnsi="Arial TUR" w:cs="FrankRuehl" w:hint="cs"/>
          <w:spacing w:val="10"/>
          <w:sz w:val="22"/>
          <w:szCs w:val="28"/>
          <w:rtl/>
        </w:rPr>
        <w:t xml:space="preserve"> נלמדת בהיקש גם מהפסיקה הנוגעת לעבירת ההתעללות, ובעיקר מתחייבת מן התכלית של עבירת הפרת האמונים ומהפירוש שניתן ליסודותיה בפסיקה. בהקשר זה, סדרה מסוימת של מעשים תיחשב כמכלול אחד, כאשר קיבוץ המעשים מגלה לנו דבר-מה שלא נלמד בהסתכלות על כל מעשה לבדו, ואשר יש לו חשיבות מבחינת הערכת הפגיעה שנגרמה לערכים המוגנים על ידי העבירה. קיבוץ כזה יכול שייעשה לא רק לגבי מעשים </w:t>
      </w:r>
      <w:r w:rsidRPr="007F5756">
        <w:rPr>
          <w:rFonts w:ascii="Arial TUR" w:hAnsi="Arial TUR" w:cs="FrankRuehl" w:hint="cs"/>
          <w:spacing w:val="10"/>
          <w:sz w:val="22"/>
          <w:szCs w:val="28"/>
          <w:rtl/>
        </w:rPr>
        <w:lastRenderedPageBreak/>
        <w:t>הקשורים זה לזה בדרך של "תכנית עבריינית" אחת, אלא גם כאשר מדובר בדפוס של חזרה על מעשים פסולים דומים</w:t>
      </w:r>
      <w:r>
        <w:rPr>
          <w:rFonts w:ascii="Arial TUR" w:hAnsi="Arial TUR" w:cs="FrankRuehl" w:hint="cs"/>
          <w:spacing w:val="10"/>
          <w:sz w:val="22"/>
          <w:szCs w:val="28"/>
          <w:rtl/>
        </w:rPr>
        <w:t xml:space="preserve"> לאורך זמן</w:t>
      </w:r>
      <w:r w:rsidRPr="007F5756">
        <w:rPr>
          <w:rFonts w:ascii="Arial TUR" w:hAnsi="Arial TUR" w:cs="FrankRuehl" w:hint="cs"/>
          <w:spacing w:val="10"/>
          <w:sz w:val="22"/>
          <w:szCs w:val="28"/>
          <w:rtl/>
        </w:rPr>
        <w:t xml:space="preserve">. האפשרות להשקיף על דפוס התנהגות </w:t>
      </w:r>
      <w:r>
        <w:rPr>
          <w:rFonts w:ascii="Arial TUR" w:hAnsi="Arial TUR" w:cs="FrankRuehl" w:hint="cs"/>
          <w:spacing w:val="10"/>
          <w:sz w:val="22"/>
          <w:szCs w:val="28"/>
          <w:rtl/>
        </w:rPr>
        <w:t>כ</w:t>
      </w:r>
      <w:r w:rsidRPr="007F5756">
        <w:rPr>
          <w:rFonts w:ascii="Arial TUR" w:hAnsi="Arial TUR" w:cs="FrankRuehl" w:hint="cs"/>
          <w:spacing w:val="10"/>
          <w:sz w:val="22"/>
          <w:szCs w:val="28"/>
          <w:rtl/>
        </w:rPr>
        <w:t xml:space="preserve">אמור כעל מעשה הפרת אמונים, מתיישבת עם המבחנים שהותוו בפסיקה לצורך ההבחנה בין התנהגות פסולה שאינה פלילית, ובין התנהגות </w:t>
      </w:r>
      <w:r>
        <w:rPr>
          <w:rFonts w:ascii="Arial TUR" w:hAnsi="Arial TUR" w:cs="FrankRuehl" w:hint="cs"/>
          <w:spacing w:val="10"/>
          <w:sz w:val="22"/>
          <w:szCs w:val="28"/>
          <w:rtl/>
        </w:rPr>
        <w:t xml:space="preserve">כזו </w:t>
      </w:r>
      <w:r w:rsidRPr="007F5756">
        <w:rPr>
          <w:rFonts w:ascii="Arial TUR" w:hAnsi="Arial TUR" w:cs="FrankRuehl" w:hint="cs"/>
          <w:spacing w:val="10"/>
          <w:sz w:val="22"/>
          <w:szCs w:val="28"/>
          <w:rtl/>
        </w:rPr>
        <w:t xml:space="preserve">הנופלת בגדר העבירה. כך, מקום שמבחנים אלה מיועדים לחפש "פן מחמיר נוסף" ההופך את ההתנהגות הפסולה </w:t>
      </w:r>
      <w:proofErr w:type="spellStart"/>
      <w:r w:rsidRPr="007F5756">
        <w:rPr>
          <w:rFonts w:ascii="Arial TUR" w:hAnsi="Arial TUR" w:cs="FrankRuehl" w:hint="cs"/>
          <w:spacing w:val="10"/>
          <w:sz w:val="22"/>
          <w:szCs w:val="28"/>
          <w:rtl/>
        </w:rPr>
        <w:t>לכזו</w:t>
      </w:r>
      <w:proofErr w:type="spellEnd"/>
      <w:r w:rsidRPr="007F5756">
        <w:rPr>
          <w:rFonts w:ascii="Arial TUR" w:hAnsi="Arial TUR" w:cs="FrankRuehl" w:hint="cs"/>
          <w:spacing w:val="10"/>
          <w:sz w:val="22"/>
          <w:szCs w:val="28"/>
          <w:rtl/>
        </w:rPr>
        <w:t xml:space="preserve"> שחוצה את הרף הפלילי, וזאת בין היתר בהתחשב בחזרה על המעשה הפסול ובהתמשכות</w:t>
      </w:r>
      <w:r>
        <w:rPr>
          <w:rFonts w:ascii="Arial TUR" w:hAnsi="Arial TUR" w:cs="FrankRuehl" w:hint="cs"/>
          <w:spacing w:val="10"/>
          <w:sz w:val="22"/>
          <w:szCs w:val="28"/>
          <w:rtl/>
        </w:rPr>
        <w:t xml:space="preserve"> ההתנהגות על פני זמן</w:t>
      </w:r>
      <w:r w:rsidRPr="007F5756">
        <w:rPr>
          <w:rFonts w:ascii="Arial TUR" w:hAnsi="Arial TUR" w:cs="FrankRuehl" w:hint="cs"/>
          <w:spacing w:val="10"/>
          <w:sz w:val="22"/>
          <w:szCs w:val="28"/>
          <w:rtl/>
        </w:rPr>
        <w:t>. במובן הזה, תזת הצבירה אינה</w:t>
      </w:r>
      <w:r>
        <w:rPr>
          <w:rFonts w:ascii="Arial TUR" w:hAnsi="Arial TUR" w:cs="FrankRuehl" w:hint="cs"/>
          <w:spacing w:val="10"/>
          <w:sz w:val="22"/>
          <w:szCs w:val="28"/>
          <w:rtl/>
        </w:rPr>
        <w:t xml:space="preserve"> מרחיבה את גבולות העבירה הקיימים</w:t>
      </w:r>
      <w:r w:rsidRPr="007F5756">
        <w:rPr>
          <w:rFonts w:ascii="Arial TUR" w:hAnsi="Arial TUR" w:cs="FrankRuehl" w:hint="cs"/>
          <w:spacing w:val="10"/>
          <w:sz w:val="22"/>
          <w:szCs w:val="28"/>
          <w:rtl/>
        </w:rPr>
        <w:t xml:space="preserve">, ועל אף היותה מבוססת על הגדרות כלליות </w:t>
      </w:r>
      <w:r w:rsidRPr="007F5756">
        <w:rPr>
          <w:rFonts w:ascii="Arial TUR" w:hAnsi="Arial TUR" w:cs="FrankRuehl"/>
          <w:spacing w:val="10"/>
          <w:sz w:val="22"/>
          <w:szCs w:val="28"/>
          <w:rtl/>
        </w:rPr>
        <w:t>–</w:t>
      </w:r>
      <w:r w:rsidRPr="007F5756">
        <w:rPr>
          <w:rFonts w:ascii="Arial TUR" w:hAnsi="Arial TUR" w:cs="FrankRuehl" w:hint="cs"/>
          <w:spacing w:val="10"/>
          <w:sz w:val="22"/>
          <w:szCs w:val="28"/>
          <w:rtl/>
        </w:rPr>
        <w:t xml:space="preserve"> אין בטענה לגבי עקרון החוקיות כדי לשלול את השימוש בה.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r w:rsidRPr="007F5756">
        <w:rPr>
          <w:rFonts w:ascii="Arial TUR" w:hAnsi="Arial TUR" w:cs="FrankRuehl" w:hint="cs"/>
          <w:spacing w:val="10"/>
          <w:sz w:val="22"/>
          <w:szCs w:val="28"/>
          <w:rtl/>
        </w:rPr>
        <w:t xml:space="preserve">יחד עם זאת, יש מקום </w:t>
      </w:r>
      <w:proofErr w:type="spellStart"/>
      <w:r w:rsidRPr="007F5756">
        <w:rPr>
          <w:rFonts w:ascii="Arial TUR" w:hAnsi="Arial TUR" w:cs="FrankRuehl" w:hint="cs"/>
          <w:spacing w:val="10"/>
          <w:sz w:val="22"/>
          <w:szCs w:val="28"/>
          <w:rtl/>
        </w:rPr>
        <w:t>ליתן</w:t>
      </w:r>
      <w:proofErr w:type="spellEnd"/>
      <w:r w:rsidRPr="007F5756">
        <w:rPr>
          <w:rFonts w:ascii="Arial TUR" w:hAnsi="Arial TUR" w:cs="FrankRuehl" w:hint="cs"/>
          <w:spacing w:val="10"/>
          <w:sz w:val="22"/>
          <w:szCs w:val="28"/>
          <w:rtl/>
        </w:rPr>
        <w:t xml:space="preserve"> בשלב זה מספר הבהרות בנוגע לאופן יישומה של תזת הצבירה הלכה למעשה.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Century" w:hAnsi="Century" w:cs="Miriam"/>
          <w:b/>
          <w:sz w:val="22"/>
          <w:rtl/>
        </w:rPr>
      </w:pPr>
      <w:r w:rsidRPr="007F5756">
        <w:rPr>
          <w:rFonts w:ascii="Century" w:hAnsi="Century" w:cs="Miriam" w:hint="cs"/>
          <w:b/>
          <w:sz w:val="22"/>
          <w:rtl/>
        </w:rPr>
        <w:t>הבהרות לגבי יישומה של תזת הצבירה</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hint="cs"/>
          <w:spacing w:val="10"/>
          <w:sz w:val="22"/>
          <w:szCs w:val="28"/>
          <w:rtl/>
        </w:rPr>
        <w:t>16.</w:t>
      </w:r>
      <w:r w:rsidRPr="007F5756">
        <w:rPr>
          <w:rFonts w:ascii="Arial TUR" w:hAnsi="Arial TUR" w:cs="FrankRuehl"/>
          <w:spacing w:val="10"/>
          <w:sz w:val="22"/>
          <w:szCs w:val="28"/>
          <w:rtl/>
        </w:rPr>
        <w:tab/>
      </w:r>
      <w:r w:rsidRPr="007F5756">
        <w:rPr>
          <w:rFonts w:ascii="Arial TUR" w:hAnsi="Arial TUR" w:cs="FrankRuehl" w:hint="cs"/>
          <w:spacing w:val="10"/>
          <w:sz w:val="22"/>
          <w:szCs w:val="28"/>
          <w:rtl/>
        </w:rPr>
        <w:t xml:space="preserve">יש לזכור, כי לא כל דפוס התנהגות של חזרה על מעשים פסולים לאורך זמן, יגבש בהכרח עבירה של הפרת אמונים. השאלה בכל מקרה היא האם הדפוס, כמכלול, טומן בחובו "פן מחמיר נוסף", דהיינו פוגע באופן מהותי בערכים המוגנים על ידי העבירה. המענה לשאלה זו ייגזר על-פי כלל נסיבות העניין, כאשר בהקשר זה ניתן למנות, באופן לא ממצה, שלושה מבחני עזר. הראשון, הוא </w:t>
      </w:r>
      <w:r w:rsidRPr="007F5756">
        <w:rPr>
          <w:rFonts w:ascii="Miriam" w:hAnsi="Miriam" w:cs="Miriam"/>
          <w:spacing w:val="10"/>
          <w:rtl/>
        </w:rPr>
        <w:t>חומרת המעשה הבודד</w:t>
      </w:r>
      <w:r w:rsidRPr="007F5756">
        <w:rPr>
          <w:rFonts w:ascii="Arial TUR" w:hAnsi="Arial TUR" w:cs="FrankRuehl" w:hint="cs"/>
          <w:spacing w:val="10"/>
          <w:sz w:val="22"/>
          <w:szCs w:val="28"/>
          <w:rtl/>
        </w:rPr>
        <w:t xml:space="preserve">. אף שההנחה במסגרת תזת הצבירה היא שכל מעשה כשלעצמו אינו חוצה את הרף הפלילי, עדיין יש חשיבות למרחק של כל מעשה מן הרף האמור. ככל שהמעשים קרובים יותר למתחם הפלילי, ובמובן הזה חמורים יותר </w:t>
      </w:r>
      <w:r w:rsidRPr="007F5756">
        <w:rPr>
          <w:rFonts w:ascii="Arial TUR" w:hAnsi="Arial TUR" w:cs="FrankRuehl"/>
          <w:spacing w:val="10"/>
          <w:sz w:val="22"/>
          <w:szCs w:val="28"/>
          <w:rtl/>
        </w:rPr>
        <w:t>–</w:t>
      </w:r>
      <w:r w:rsidRPr="007F5756">
        <w:rPr>
          <w:rFonts w:ascii="Arial TUR" w:hAnsi="Arial TUR" w:cs="FrankRuehl" w:hint="cs"/>
          <w:spacing w:val="10"/>
          <w:sz w:val="22"/>
          <w:szCs w:val="28"/>
          <w:rtl/>
        </w:rPr>
        <w:t xml:space="preserve"> כך החזרה עליהם לאורך זמן תהא חמורה יותר. המבחן השני הוא </w:t>
      </w:r>
      <w:r w:rsidRPr="007F5756">
        <w:rPr>
          <w:rFonts w:ascii="Miriam" w:hAnsi="Miriam" w:cs="Miriam"/>
          <w:spacing w:val="10"/>
          <w:rtl/>
        </w:rPr>
        <w:t>כמות המעשים</w:t>
      </w:r>
      <w:r w:rsidRPr="007F5756">
        <w:rPr>
          <w:rFonts w:ascii="Arial TUR" w:hAnsi="Arial TUR" w:cs="FrankRuehl" w:hint="cs"/>
          <w:spacing w:val="10"/>
          <w:rtl/>
        </w:rPr>
        <w:t xml:space="preserve"> </w:t>
      </w:r>
      <w:r w:rsidRPr="007F5756">
        <w:rPr>
          <w:rFonts w:ascii="Arial TUR" w:hAnsi="Arial TUR" w:cs="FrankRuehl" w:hint="cs"/>
          <w:spacing w:val="10"/>
          <w:sz w:val="22"/>
          <w:szCs w:val="28"/>
          <w:rtl/>
        </w:rPr>
        <w:t xml:space="preserve">הפסולים שביצע עובד הציבור. מעשים מרובים יובילו מטבע הדברים לפגיעה קשה יותר, הגם שבהקשרים מסוימים די יהיה בכמות לא רבה של מעשים כדי לשוות חומרה למכלול. עוד יש לבחון את </w:t>
      </w:r>
      <w:r w:rsidRPr="007F5756">
        <w:rPr>
          <w:rFonts w:ascii="Miriam" w:hAnsi="Miriam" w:cs="Miriam" w:hint="cs"/>
          <w:spacing w:val="10"/>
          <w:rtl/>
        </w:rPr>
        <w:t>פריסת</w:t>
      </w:r>
      <w:r w:rsidRPr="007F5756">
        <w:rPr>
          <w:rFonts w:ascii="Miriam" w:hAnsi="Miriam" w:cs="Miriam"/>
          <w:spacing w:val="10"/>
          <w:rtl/>
        </w:rPr>
        <w:t xml:space="preserve"> המעשים בזמן</w:t>
      </w:r>
      <w:r w:rsidRPr="007F5756">
        <w:rPr>
          <w:rFonts w:ascii="Arial TUR" w:hAnsi="Arial TUR" w:cs="FrankRuehl" w:hint="cs"/>
          <w:spacing w:val="10"/>
          <w:sz w:val="22"/>
          <w:szCs w:val="28"/>
          <w:rtl/>
        </w:rPr>
        <w:t>. ככל שקיים מרווח זמן קצר בין מעשה ומעשה, וככל שדפוס ההתנהגות כולו נמשך על פני תקופה ארוכה יותר, כך תגבר הפגיעה בערכים המוגנים על ידי העבירה.</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hint="cs"/>
          <w:spacing w:val="10"/>
          <w:sz w:val="22"/>
          <w:szCs w:val="28"/>
          <w:rtl/>
        </w:rPr>
        <w:t xml:space="preserve">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r w:rsidRPr="007F5756">
        <w:rPr>
          <w:rFonts w:ascii="Arial TUR" w:hAnsi="Arial TUR" w:cs="FrankRuehl" w:hint="cs"/>
          <w:spacing w:val="10"/>
          <w:sz w:val="22"/>
          <w:szCs w:val="28"/>
          <w:rtl/>
        </w:rPr>
        <w:t>מעבר לכך, יש להדגיש כי ההערכה של דפוס התנהגות חוזר כמכלול, אינה פוטרת את בית המשפט מבחינה מדוקדקת של המסכת הראייתית בכל מקרה ומקרה. בחינה כזו נדרשת בין היתר כדי לעמוד על חומרת המעשה הבודד, כמתואר במבחן העזר הראשון, וכדי לקבוע את המסגרת הכמותית והזמנית של המעשים בגדר המבחנים האחרי</w:t>
      </w:r>
      <w:r>
        <w:rPr>
          <w:rFonts w:ascii="Arial TUR" w:hAnsi="Arial TUR" w:cs="FrankRuehl" w:hint="cs"/>
          <w:spacing w:val="10"/>
          <w:sz w:val="22"/>
          <w:szCs w:val="28"/>
          <w:rtl/>
        </w:rPr>
        <w:t>ם. ההסתכלות על האירוע ממעוף הציפ</w:t>
      </w:r>
      <w:r w:rsidRPr="007F5756">
        <w:rPr>
          <w:rFonts w:ascii="Arial TUR" w:hAnsi="Arial TUR" w:cs="FrankRuehl" w:hint="cs"/>
          <w:spacing w:val="10"/>
          <w:sz w:val="22"/>
          <w:szCs w:val="28"/>
          <w:rtl/>
        </w:rPr>
        <w:t xml:space="preserve">ור בלבד, מבלי להבין קודם את המצב </w:t>
      </w:r>
      <w:r w:rsidRPr="007F5756">
        <w:rPr>
          <w:rFonts w:ascii="Arial TUR" w:hAnsi="Arial TUR" w:cs="FrankRuehl" w:hint="cs"/>
          <w:spacing w:val="10"/>
          <w:sz w:val="22"/>
          <w:szCs w:val="28"/>
          <w:rtl/>
        </w:rPr>
        <w:lastRenderedPageBreak/>
        <w:t>העובדתי על בוריו ביחס לכל חלק וחלק, עלולה להוביל ממילא למסקנות שגויות בנוגע למכלול. על בית המשפט לעבוד בצורה יסודית וסדורה, תוך שהוא קובע תחילה ממצאים עובדתיים ובמידת הצורך משפטיים ביחס לכל מעשה המרכיב את ההתנהגות הכוללת. רק לאחר מכן, ובהתבסס על שנמצא, תועבר ההתנהגות כולה במסננת המבחנים שהותוו בדין ובפסיקה, במטרה לקבוע האם המכלול חוצה את הרף הפלילי או לאו.</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hint="cs"/>
          <w:spacing w:val="10"/>
          <w:sz w:val="22"/>
          <w:szCs w:val="28"/>
          <w:rtl/>
        </w:rPr>
        <w:t>17.</w:t>
      </w:r>
      <w:r w:rsidRPr="007F5756">
        <w:rPr>
          <w:rFonts w:ascii="Arial TUR" w:hAnsi="Arial TUR" w:cs="FrankRuehl"/>
          <w:spacing w:val="10"/>
          <w:sz w:val="22"/>
          <w:szCs w:val="28"/>
          <w:rtl/>
        </w:rPr>
        <w:tab/>
      </w:r>
      <w:r w:rsidRPr="007F5756">
        <w:rPr>
          <w:rFonts w:ascii="Arial TUR" w:hAnsi="Arial TUR" w:cs="FrankRuehl" w:hint="cs"/>
          <w:spacing w:val="10"/>
          <w:sz w:val="22"/>
          <w:szCs w:val="28"/>
          <w:rtl/>
        </w:rPr>
        <w:t xml:space="preserve">לבסוף, יובהר כי לא ניתן לצבור במסגרת התזה מעשים שחלה עליהם התיישנות. העובדה שעובד הציבור המשיך לבצע מעשים פסולים דומים גם בעת האחרונה, אינה מכשירה את מעשי העבר שהתיישנו כבר, באופן שמתיר לכרוך אותם יחד עם המעשים האקטואליים. תוצאה כזו תעמוד בניגוד לעקרון החוקיות ולדיני התיישנות, ואין לקבלה (השוו: ע"פ 2213/00 </w:t>
      </w:r>
      <w:r w:rsidRPr="007F5756">
        <w:rPr>
          <w:rFonts w:ascii="Miriam" w:hAnsi="Miriam" w:cs="Miriam"/>
          <w:spacing w:val="10"/>
          <w:rtl/>
        </w:rPr>
        <w:t>מדינת ישראל נ' פלוני</w:t>
      </w:r>
      <w:r w:rsidRPr="007F5756">
        <w:rPr>
          <w:rFonts w:ascii="Arial TUR" w:hAnsi="Arial TUR" w:cs="FrankRuehl" w:hint="cs"/>
          <w:spacing w:val="10"/>
          <w:sz w:val="22"/>
          <w:szCs w:val="28"/>
          <w:rtl/>
        </w:rPr>
        <w:t xml:space="preserve">, פ"ד נד(3) 180, 187ה' (2000)).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r w:rsidRPr="007F5756">
        <w:rPr>
          <w:rFonts w:ascii="Arial TUR" w:hAnsi="Arial TUR" w:cs="FrankRuehl" w:hint="cs"/>
          <w:spacing w:val="10"/>
          <w:sz w:val="22"/>
          <w:szCs w:val="28"/>
          <w:rtl/>
        </w:rPr>
        <w:t xml:space="preserve">במקרה שלפנינו, התביעה הציגה ראיות אודות פעולות שהתיישנו, אשר נטען כי המבקש ביצע לגבי השוטרות בפרשיות הראשונה והחמישית, בעודו מצוי בניגוד עניינים. בית משפט השלום נמנע מלדון בראיות אלה, תוך שציין </w:t>
      </w:r>
      <w:r>
        <w:rPr>
          <w:rFonts w:ascii="Arial TUR" w:hAnsi="Arial TUR" w:cs="FrankRuehl" w:hint="cs"/>
          <w:spacing w:val="10"/>
          <w:sz w:val="22"/>
          <w:szCs w:val="28"/>
          <w:rtl/>
        </w:rPr>
        <w:t>כי בחינתן לא תסייע לבירור הסוגי</w:t>
      </w:r>
      <w:r w:rsidRPr="007F5756">
        <w:rPr>
          <w:rFonts w:ascii="Arial TUR" w:hAnsi="Arial TUR" w:cs="FrankRuehl" w:hint="cs"/>
          <w:spacing w:val="10"/>
          <w:sz w:val="22"/>
          <w:szCs w:val="28"/>
          <w:rtl/>
        </w:rPr>
        <w:t>ה שבמחלוקת. בהקשר זה, יש לדחות את הביקורת של בית המשפט המחוזי, שלפיה לבחינת הפעולות הייתה חשיבות, בין היתר, "</w:t>
      </w:r>
      <w:r w:rsidRPr="007F5756">
        <w:rPr>
          <w:rFonts w:ascii="Arial TUR" w:hAnsi="Arial TUR" w:cs="FrankRuehl"/>
          <w:spacing w:val="10"/>
          <w:sz w:val="22"/>
          <w:szCs w:val="28"/>
          <w:rtl/>
        </w:rPr>
        <w:t>בהיבט של הישנות המעשים, ובעיקר כמרכיב אופייני, חוזר ונשנה, בהתנהלותו של שחם לאורך השנים, לרבות בתקופת ההתיישנות</w:t>
      </w:r>
      <w:r w:rsidRPr="007F5756">
        <w:rPr>
          <w:rFonts w:ascii="Arial TUR" w:hAnsi="Arial TUR" w:cs="FrankRuehl" w:hint="cs"/>
          <w:spacing w:val="10"/>
          <w:sz w:val="22"/>
          <w:szCs w:val="28"/>
          <w:rtl/>
        </w:rPr>
        <w:t>" (עמ' 48 לפסק דינו של בית המשפט המחוזי). בחינת הפעולות האמורות הייתה יכולה אולי לסייע, כפי שציין בית המשפט</w:t>
      </w:r>
      <w:r>
        <w:rPr>
          <w:rFonts w:ascii="Arial TUR" w:hAnsi="Arial TUR" w:cs="FrankRuehl" w:hint="cs"/>
          <w:spacing w:val="10"/>
          <w:sz w:val="22"/>
          <w:szCs w:val="28"/>
          <w:rtl/>
        </w:rPr>
        <w:t xml:space="preserve"> המחוזי</w:t>
      </w:r>
      <w:r w:rsidRPr="007F5756">
        <w:rPr>
          <w:rFonts w:ascii="Arial TUR" w:hAnsi="Arial TUR" w:cs="FrankRuehl" w:hint="cs"/>
          <w:spacing w:val="10"/>
          <w:sz w:val="22"/>
          <w:szCs w:val="28"/>
          <w:rtl/>
        </w:rPr>
        <w:t>, בהערכת עוצמת ניגוד העניינים שבה היה מצוי המבקש עת טיפל בבקשות של אותן שוטרות בעת האחרונה. אלה מעשים שלא התיישנו לפי הדין. עם זאת, אין מקום להכניס "בדלת האחורית" מעשים שאכן התיישנו אל תוך המצבור האקטואלי שעומד בבסיס ההרשעה, באופן שהלכה למעשה מאריך את תקופת ההתיישנות בניגוד לקביעת המחוקק.</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Century" w:hAnsi="Century" w:cs="Miriam" w:hint="cs"/>
          <w:b/>
          <w:sz w:val="22"/>
          <w:rtl/>
        </w:rPr>
        <w:t>מן הכלל אל הפרט</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hint="cs"/>
          <w:spacing w:val="10"/>
          <w:sz w:val="22"/>
          <w:szCs w:val="28"/>
          <w:rtl/>
        </w:rPr>
        <w:t>18.</w:t>
      </w:r>
      <w:r w:rsidRPr="007F5756">
        <w:rPr>
          <w:rFonts w:ascii="Arial TUR" w:hAnsi="Arial TUR" w:cs="FrankRuehl"/>
          <w:spacing w:val="10"/>
          <w:sz w:val="22"/>
          <w:szCs w:val="28"/>
          <w:rtl/>
        </w:rPr>
        <w:tab/>
      </w:r>
      <w:r w:rsidRPr="007F5756">
        <w:rPr>
          <w:rFonts w:ascii="Arial TUR" w:hAnsi="Arial TUR" w:cs="FrankRuehl" w:hint="cs"/>
          <w:spacing w:val="10"/>
          <w:sz w:val="22"/>
          <w:szCs w:val="28"/>
          <w:rtl/>
        </w:rPr>
        <w:t xml:space="preserve">כעת, ליישומם של הדברים על המקרה שלפנינו. להלן תפורטנה העובדות הרלוונטיות שנקבעו על ידי בית המשפט ביחס לכל אחת מן הפרשיות </w:t>
      </w:r>
      <w:r w:rsidRPr="007F5756">
        <w:rPr>
          <w:rFonts w:ascii="Arial TUR" w:hAnsi="Arial TUR" w:cs="FrankRuehl"/>
          <w:spacing w:val="10"/>
          <w:sz w:val="22"/>
          <w:szCs w:val="28"/>
          <w:rtl/>
        </w:rPr>
        <w:t>–</w:t>
      </w:r>
      <w:r w:rsidRPr="007F5756">
        <w:rPr>
          <w:rFonts w:ascii="Arial TUR" w:hAnsi="Arial TUR" w:cs="FrankRuehl" w:hint="cs"/>
          <w:spacing w:val="10"/>
          <w:sz w:val="22"/>
          <w:szCs w:val="28"/>
          <w:rtl/>
        </w:rPr>
        <w:t xml:space="preserve"> תחילה הפרשיות שבגינן הורשע המבקש רק בעבירה של הפרת אמונים, ואז הפרשיות שבגינן הורשע גם בעבירות מין.</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Miriam" w:hAnsi="Miriam" w:cs="Miriam"/>
          <w:spacing w:val="10"/>
          <w:rtl/>
        </w:rPr>
        <w:tab/>
        <w:t>פרשייה ראשונה</w:t>
      </w:r>
      <w:r w:rsidRPr="007F5756">
        <w:rPr>
          <w:rFonts w:ascii="Arial TUR" w:hAnsi="Arial TUR" w:cs="FrankRuehl" w:hint="cs"/>
          <w:spacing w:val="10"/>
          <w:rtl/>
        </w:rPr>
        <w:t xml:space="preserve"> </w:t>
      </w:r>
      <w:r w:rsidRPr="007F5756">
        <w:rPr>
          <w:rFonts w:ascii="Arial TUR" w:hAnsi="Arial TUR" w:cs="FrankRuehl"/>
          <w:spacing w:val="10"/>
          <w:sz w:val="22"/>
          <w:szCs w:val="28"/>
          <w:rtl/>
        </w:rPr>
        <w:t>–</w:t>
      </w:r>
      <w:r w:rsidRPr="007F5756">
        <w:rPr>
          <w:rFonts w:ascii="Arial TUR" w:hAnsi="Arial TUR" w:cs="FrankRuehl" w:hint="cs"/>
          <w:spacing w:val="10"/>
          <w:sz w:val="22"/>
          <w:szCs w:val="28"/>
          <w:rtl/>
        </w:rPr>
        <w:t xml:space="preserve"> בשנת 2007 המבקש ראיין בתפקידו כסגן מפקד מחוז ירושלים (להלן: </w:t>
      </w:r>
      <w:proofErr w:type="spellStart"/>
      <w:r w:rsidRPr="007F5756">
        <w:rPr>
          <w:rFonts w:ascii="Miriam" w:hAnsi="Miriam" w:cs="Miriam"/>
          <w:spacing w:val="10"/>
          <w:rtl/>
        </w:rPr>
        <w:t>סממ"ז</w:t>
      </w:r>
      <w:proofErr w:type="spellEnd"/>
      <w:r w:rsidRPr="007F5756">
        <w:rPr>
          <w:rFonts w:ascii="Miriam" w:hAnsi="Miriam" w:cs="Miriam"/>
          <w:spacing w:val="10"/>
          <w:rtl/>
        </w:rPr>
        <w:t xml:space="preserve"> י-ם</w:t>
      </w:r>
      <w:r w:rsidRPr="007F5756">
        <w:rPr>
          <w:rFonts w:ascii="Arial TUR" w:hAnsi="Arial TUR" w:cs="FrankRuehl" w:hint="cs"/>
          <w:spacing w:val="10"/>
          <w:sz w:val="22"/>
          <w:szCs w:val="28"/>
          <w:rtl/>
        </w:rPr>
        <w:t xml:space="preserve">) את השוטרת הכפופה לו א' בנוגע לבקשתה לעבור לשרת </w:t>
      </w:r>
      <w:r w:rsidRPr="007F5756">
        <w:rPr>
          <w:rFonts w:ascii="Arial TUR" w:hAnsi="Arial TUR" w:cs="FrankRuehl" w:hint="cs"/>
          <w:spacing w:val="10"/>
          <w:sz w:val="22"/>
          <w:szCs w:val="28"/>
          <w:rtl/>
        </w:rPr>
        <w:lastRenderedPageBreak/>
        <w:t xml:space="preserve">בתפקיד מנהלי בתחנה אחרת. המבקש דחה את בקשתה לעבור לתפקיד מנהלי, אך ציין כי הבקשה לעבור תחנה תישקל לחיוב, וכן הורה לקצין </w:t>
      </w:r>
      <w:r>
        <w:rPr>
          <w:rFonts w:ascii="Arial TUR" w:hAnsi="Arial TUR" w:cs="FrankRuehl" w:hint="cs"/>
          <w:spacing w:val="10"/>
          <w:sz w:val="22"/>
          <w:szCs w:val="28"/>
          <w:rtl/>
        </w:rPr>
        <w:t>המבצעים</w:t>
      </w:r>
      <w:r w:rsidRPr="007F5756">
        <w:rPr>
          <w:rFonts w:ascii="Arial TUR" w:hAnsi="Arial TUR" w:cs="FrankRuehl" w:hint="cs"/>
          <w:spacing w:val="10"/>
          <w:sz w:val="22"/>
          <w:szCs w:val="28"/>
          <w:rtl/>
        </w:rPr>
        <w:t xml:space="preserve"> לבחון הקלות בשיבוציה למבצעים מיוחדים במחוז. זאת עשה המבקש מבלי שד</w:t>
      </w:r>
      <w:r>
        <w:rPr>
          <w:rFonts w:ascii="Arial TUR" w:hAnsi="Arial TUR" w:cs="FrankRuehl" w:hint="cs"/>
          <w:spacing w:val="10"/>
          <w:sz w:val="22"/>
          <w:szCs w:val="28"/>
          <w:rtl/>
        </w:rPr>
        <w:t>יווח לאיש על כך ששלוש שנים קודם</w:t>
      </w:r>
      <w:r w:rsidRPr="007F5756">
        <w:rPr>
          <w:rFonts w:ascii="Arial TUR" w:hAnsi="Arial TUR" w:cs="FrankRuehl" w:hint="cs"/>
          <w:spacing w:val="10"/>
          <w:sz w:val="22"/>
          <w:szCs w:val="28"/>
          <w:rtl/>
        </w:rPr>
        <w:t xml:space="preserve"> הסתיים קשר מיני ארוך שנים בין השניים. קשר זה, שעליו חלה התיישנות, החל כאשר א' הייתה כבת 20, בשירות חובה במשטרה, והמשיך בזמן שהמבקש, אז </w:t>
      </w:r>
      <w:r>
        <w:rPr>
          <w:rFonts w:ascii="Arial TUR" w:hAnsi="Arial TUR" w:cs="FrankRuehl" w:hint="cs"/>
          <w:spacing w:val="10"/>
          <w:sz w:val="22"/>
          <w:szCs w:val="28"/>
          <w:rtl/>
        </w:rPr>
        <w:t>כ</w:t>
      </w:r>
      <w:r w:rsidRPr="007F5756">
        <w:rPr>
          <w:rFonts w:ascii="Arial TUR" w:hAnsi="Arial TUR" w:cs="FrankRuehl" w:hint="cs"/>
          <w:spacing w:val="10"/>
          <w:sz w:val="22"/>
          <w:szCs w:val="28"/>
          <w:rtl/>
        </w:rPr>
        <w:t xml:space="preserve">בן 40, כיהן כמפקד המרחב שבו שירתה. </w:t>
      </w:r>
    </w:p>
    <w:p w:rsidR="00D865EA" w:rsidRPr="007F5756" w:rsidRDefault="00D865EA" w:rsidP="00D865EA">
      <w:pPr>
        <w:tabs>
          <w:tab w:val="left" w:pos="800"/>
        </w:tabs>
        <w:spacing w:line="360" w:lineRule="auto"/>
        <w:ind w:left="720"/>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Miriam" w:hAnsi="Miriam" w:cs="Miriam"/>
          <w:spacing w:val="10"/>
          <w:rtl/>
        </w:rPr>
        <w:tab/>
        <w:t>פרשייה שנייה</w:t>
      </w:r>
      <w:r w:rsidRPr="007F5756">
        <w:rPr>
          <w:rFonts w:ascii="Arial TUR" w:hAnsi="Arial TUR" w:cs="FrankRuehl" w:hint="cs"/>
          <w:spacing w:val="10"/>
          <w:rtl/>
        </w:rPr>
        <w:t xml:space="preserve"> </w:t>
      </w:r>
      <w:r w:rsidRPr="007F5756">
        <w:rPr>
          <w:rFonts w:ascii="Arial TUR" w:hAnsi="Arial TUR" w:cs="FrankRuehl"/>
          <w:spacing w:val="10"/>
          <w:sz w:val="22"/>
          <w:szCs w:val="28"/>
          <w:rtl/>
        </w:rPr>
        <w:t>–</w:t>
      </w:r>
      <w:r w:rsidRPr="007F5756">
        <w:rPr>
          <w:rFonts w:ascii="Arial TUR" w:hAnsi="Arial TUR" w:cs="FrankRuehl" w:hint="cs"/>
          <w:spacing w:val="10"/>
          <w:sz w:val="22"/>
          <w:szCs w:val="28"/>
          <w:rtl/>
        </w:rPr>
        <w:t xml:space="preserve"> בשנת 2009 המבקש ראיין בתפקידו </w:t>
      </w:r>
      <w:proofErr w:type="spellStart"/>
      <w:r w:rsidRPr="007F5756">
        <w:rPr>
          <w:rFonts w:ascii="Arial TUR" w:hAnsi="Arial TUR" w:cs="FrankRuehl" w:hint="cs"/>
          <w:spacing w:val="10"/>
          <w:sz w:val="22"/>
          <w:szCs w:val="28"/>
          <w:rtl/>
        </w:rPr>
        <w:t>כסממ"ז</w:t>
      </w:r>
      <w:proofErr w:type="spellEnd"/>
      <w:r w:rsidRPr="007F5756">
        <w:rPr>
          <w:rFonts w:ascii="Arial TUR" w:hAnsi="Arial TUR" w:cs="FrankRuehl" w:hint="cs"/>
          <w:spacing w:val="10"/>
          <w:sz w:val="22"/>
          <w:szCs w:val="28"/>
          <w:rtl/>
        </w:rPr>
        <w:t xml:space="preserve"> י-ם את השוטרת הכפופה</w:t>
      </w:r>
      <w:r>
        <w:rPr>
          <w:rFonts w:ascii="Arial TUR" w:hAnsi="Arial TUR" w:cs="FrankRuehl" w:hint="cs"/>
          <w:spacing w:val="10"/>
          <w:sz w:val="22"/>
          <w:szCs w:val="28"/>
          <w:rtl/>
        </w:rPr>
        <w:t xml:space="preserve"> לו ב' בנוגע לבקשתה לעבור תפקיד. בסיום </w:t>
      </w:r>
      <w:proofErr w:type="spellStart"/>
      <w:r>
        <w:rPr>
          <w:rFonts w:ascii="Arial TUR" w:hAnsi="Arial TUR" w:cs="FrankRuehl" w:hint="cs"/>
          <w:spacing w:val="10"/>
          <w:sz w:val="22"/>
          <w:szCs w:val="28"/>
          <w:rtl/>
        </w:rPr>
        <w:t>הראיון</w:t>
      </w:r>
      <w:proofErr w:type="spellEnd"/>
      <w:r w:rsidRPr="007F5756">
        <w:rPr>
          <w:rFonts w:ascii="Arial TUR" w:hAnsi="Arial TUR" w:cs="FrankRuehl" w:hint="cs"/>
          <w:spacing w:val="10"/>
          <w:sz w:val="22"/>
          <w:szCs w:val="28"/>
          <w:rtl/>
        </w:rPr>
        <w:t xml:space="preserve"> החליט כי מועמדותה תיבחן ביחידה המרכזית של מחוז ירושלים (להלן: </w:t>
      </w:r>
      <w:proofErr w:type="spellStart"/>
      <w:r w:rsidRPr="007F5756">
        <w:rPr>
          <w:rFonts w:ascii="Century" w:hAnsi="Century" w:cs="Miriam" w:hint="cs"/>
          <w:b/>
          <w:sz w:val="22"/>
          <w:rtl/>
        </w:rPr>
        <w:t>ימ"ר</w:t>
      </w:r>
      <w:proofErr w:type="spellEnd"/>
      <w:r w:rsidRPr="007F5756">
        <w:rPr>
          <w:rFonts w:ascii="Century" w:hAnsi="Century" w:cs="Miriam" w:hint="cs"/>
          <w:b/>
          <w:sz w:val="22"/>
          <w:rtl/>
        </w:rPr>
        <w:t xml:space="preserve"> י-ם</w:t>
      </w:r>
      <w:r w:rsidRPr="007F5756">
        <w:rPr>
          <w:rFonts w:ascii="Arial TUR" w:hAnsi="Arial TUR" w:cs="FrankRuehl" w:hint="cs"/>
          <w:spacing w:val="10"/>
          <w:sz w:val="22"/>
          <w:szCs w:val="28"/>
          <w:rtl/>
        </w:rPr>
        <w:t xml:space="preserve">), וכי אם לא יימצא עבורה שיבוץ מתאים, תאושר העברתה לתפקיד קצונה באגף חקירות ומודיעין. ראיון זה התקיים בזמן שהמבקש ו-ב' קיימו קשר טלפוני אינטנסיבי ביניהם שנשמר בסוד ועסק גם ברצונה של ב' לעבור תפקיד. בהמשך הפך הקשר </w:t>
      </w:r>
      <w:proofErr w:type="spellStart"/>
      <w:r w:rsidRPr="007F5756">
        <w:rPr>
          <w:rFonts w:ascii="Arial TUR" w:hAnsi="Arial TUR" w:cs="FrankRuehl" w:hint="cs"/>
          <w:spacing w:val="10"/>
          <w:sz w:val="22"/>
          <w:szCs w:val="28"/>
          <w:rtl/>
        </w:rPr>
        <w:t>ל"פלרטטני</w:t>
      </w:r>
      <w:proofErr w:type="spellEnd"/>
      <w:r w:rsidRPr="007F5756">
        <w:rPr>
          <w:rFonts w:ascii="Arial TUR" w:hAnsi="Arial TUR" w:cs="FrankRuehl" w:hint="cs"/>
          <w:spacing w:val="10"/>
          <w:sz w:val="22"/>
          <w:szCs w:val="28"/>
          <w:rtl/>
        </w:rPr>
        <w:t xml:space="preserve">", והשניים קיימו מגע מיני </w:t>
      </w:r>
      <w:r w:rsidRPr="007F5756">
        <w:rPr>
          <w:rFonts w:ascii="Arial TUR" w:hAnsi="Arial TUR" w:cs="FrankRuehl"/>
          <w:spacing w:val="10"/>
          <w:sz w:val="22"/>
          <w:szCs w:val="28"/>
          <w:rtl/>
        </w:rPr>
        <w:t>–</w:t>
      </w:r>
      <w:r w:rsidRPr="007F5756">
        <w:rPr>
          <w:rFonts w:ascii="Arial TUR" w:hAnsi="Arial TUR" w:cs="FrankRuehl" w:hint="cs"/>
          <w:spacing w:val="10"/>
          <w:sz w:val="22"/>
          <w:szCs w:val="28"/>
          <w:rtl/>
        </w:rPr>
        <w:t xml:space="preserve"> עניין שנשמר גם כן בסוד. בשנת 2012, בין שנה לשנתיים לאחר המגע המיני, פנה המבקש בתפקידו כמפקד מחוז ירושלים אל מפקד </w:t>
      </w:r>
      <w:proofErr w:type="spellStart"/>
      <w:r w:rsidRPr="007F5756">
        <w:rPr>
          <w:rFonts w:ascii="Arial TUR" w:hAnsi="Arial TUR" w:cs="FrankRuehl" w:hint="cs"/>
          <w:spacing w:val="10"/>
          <w:sz w:val="22"/>
          <w:szCs w:val="28"/>
          <w:rtl/>
        </w:rPr>
        <w:t>ימ"ר</w:t>
      </w:r>
      <w:proofErr w:type="spellEnd"/>
      <w:r w:rsidRPr="007F5756">
        <w:rPr>
          <w:rFonts w:ascii="Arial TUR" w:hAnsi="Arial TUR" w:cs="FrankRuehl" w:hint="cs"/>
          <w:spacing w:val="10"/>
          <w:sz w:val="22"/>
          <w:szCs w:val="28"/>
          <w:rtl/>
        </w:rPr>
        <w:t xml:space="preserve"> י-ם הכפוף לו,</w:t>
      </w:r>
      <w:r>
        <w:rPr>
          <w:rFonts w:ascii="Arial TUR" w:hAnsi="Arial TUR" w:cs="FrankRuehl" w:hint="cs"/>
          <w:spacing w:val="10"/>
          <w:sz w:val="22"/>
          <w:szCs w:val="28"/>
          <w:rtl/>
        </w:rPr>
        <w:t xml:space="preserve"> והנחה אותו לקלוט את ב' </w:t>
      </w:r>
      <w:r w:rsidRPr="007F5756">
        <w:rPr>
          <w:rFonts w:ascii="Arial TUR" w:hAnsi="Arial TUR" w:cs="FrankRuehl" w:hint="cs"/>
          <w:spacing w:val="10"/>
          <w:sz w:val="22"/>
          <w:szCs w:val="28"/>
          <w:rtl/>
        </w:rPr>
        <w:t xml:space="preserve">לתפקיד </w:t>
      </w:r>
      <w:r>
        <w:rPr>
          <w:rFonts w:ascii="Arial TUR" w:hAnsi="Arial TUR" w:cs="FrankRuehl" w:hint="cs"/>
          <w:spacing w:val="10"/>
          <w:sz w:val="22"/>
          <w:szCs w:val="28"/>
          <w:rtl/>
        </w:rPr>
        <w:t>מסוים ביחידתו</w:t>
      </w:r>
      <w:r w:rsidRPr="007F5756">
        <w:rPr>
          <w:rFonts w:ascii="Arial TUR" w:hAnsi="Arial TUR" w:cs="FrankRuehl" w:hint="cs"/>
          <w:spacing w:val="10"/>
          <w:sz w:val="22"/>
          <w:szCs w:val="28"/>
          <w:rtl/>
        </w:rPr>
        <w:t>, בניגוד לעמדתו של המפקד. פנייה זו הובילה לכך ש-ב' התקבלה ליחידה לתקופת ניסיון, עד שהודיעה כי אינה מעוניינת בתפקיד.</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r w:rsidRPr="007F5756">
        <w:rPr>
          <w:rFonts w:ascii="Arial TUR" w:hAnsi="Arial TUR" w:cs="FrankRuehl" w:hint="cs"/>
          <w:spacing w:val="10"/>
          <w:sz w:val="22"/>
          <w:szCs w:val="28"/>
          <w:rtl/>
        </w:rPr>
        <w:t xml:space="preserve">יוער כי בגדר פרשייה זו נטען גם כי בשנת 2008 טיפל המבקש בבקשה של ב' להשתבץ לתפקיד חדש, ואולם נקבע כי מעורבותו של המבקש בעניין לא הוכחה. </w:t>
      </w:r>
    </w:p>
    <w:p w:rsidR="00D865EA" w:rsidRPr="007F5756" w:rsidRDefault="00D865EA" w:rsidP="00D865EA">
      <w:pPr>
        <w:tabs>
          <w:tab w:val="left" w:pos="800"/>
        </w:tabs>
        <w:spacing w:line="360" w:lineRule="auto"/>
        <w:ind w:left="720"/>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Miriam" w:hAnsi="Miriam" w:cs="Miriam"/>
          <w:spacing w:val="10"/>
          <w:rtl/>
        </w:rPr>
        <w:tab/>
        <w:t>פרשייה שלישית</w:t>
      </w:r>
      <w:r w:rsidRPr="007F5756">
        <w:rPr>
          <w:rFonts w:ascii="Arial TUR" w:hAnsi="Arial TUR" w:cs="FrankRuehl" w:hint="cs"/>
          <w:spacing w:val="10"/>
          <w:rtl/>
        </w:rPr>
        <w:t xml:space="preserve"> </w:t>
      </w:r>
      <w:r w:rsidRPr="007F5756">
        <w:rPr>
          <w:rFonts w:ascii="Arial TUR" w:hAnsi="Arial TUR" w:cs="FrankRuehl"/>
          <w:spacing w:val="10"/>
          <w:sz w:val="22"/>
          <w:szCs w:val="28"/>
          <w:rtl/>
        </w:rPr>
        <w:t>–</w:t>
      </w:r>
      <w:r w:rsidRPr="007F5756">
        <w:rPr>
          <w:rFonts w:ascii="Arial TUR" w:hAnsi="Arial TUR" w:cs="FrankRuehl" w:hint="cs"/>
          <w:spacing w:val="10"/>
          <w:sz w:val="22"/>
          <w:szCs w:val="28"/>
          <w:rtl/>
        </w:rPr>
        <w:t xml:space="preserve"> הקשר בין המבקש והשוטרת הכפופה לו ג' החל בשנת 2009, כאשר הוא היה כבן 51 והיא כבת 30. בתחילה קיימו השניים קשר טלפוני </w:t>
      </w:r>
      <w:r>
        <w:rPr>
          <w:rFonts w:ascii="Arial TUR" w:hAnsi="Arial TUR" w:cs="FrankRuehl" w:hint="cs"/>
          <w:spacing w:val="10"/>
          <w:sz w:val="22"/>
          <w:szCs w:val="28"/>
          <w:rtl/>
        </w:rPr>
        <w:t>"</w:t>
      </w:r>
      <w:proofErr w:type="spellStart"/>
      <w:r w:rsidRPr="007F5756">
        <w:rPr>
          <w:rFonts w:ascii="Arial TUR" w:hAnsi="Arial TUR" w:cs="FrankRuehl" w:hint="cs"/>
          <w:spacing w:val="10"/>
          <w:sz w:val="22"/>
          <w:szCs w:val="28"/>
          <w:rtl/>
        </w:rPr>
        <w:t>פלרטטני</w:t>
      </w:r>
      <w:proofErr w:type="spellEnd"/>
      <w:r>
        <w:rPr>
          <w:rFonts w:ascii="Arial TUR" w:hAnsi="Arial TUR" w:cs="FrankRuehl" w:hint="cs"/>
          <w:spacing w:val="10"/>
          <w:sz w:val="22"/>
          <w:szCs w:val="28"/>
          <w:rtl/>
        </w:rPr>
        <w:t>"</w:t>
      </w:r>
      <w:r w:rsidRPr="007F5756">
        <w:rPr>
          <w:rFonts w:ascii="Arial TUR" w:hAnsi="Arial TUR" w:cs="FrankRuehl" w:hint="cs"/>
          <w:spacing w:val="10"/>
          <w:sz w:val="22"/>
          <w:szCs w:val="28"/>
          <w:rtl/>
        </w:rPr>
        <w:t xml:space="preserve">, ואז בשלהי שנת 2009 או בראשית שנת 2010 קיימו יחסי מין. חודשים ספורים לאחר מכן, ובעוד שהקשר ביניהם נשמר בסוד, ראיין המבקש בתפקידו </w:t>
      </w:r>
      <w:proofErr w:type="spellStart"/>
      <w:r w:rsidRPr="007F5756">
        <w:rPr>
          <w:rFonts w:ascii="Arial TUR" w:hAnsi="Arial TUR" w:cs="FrankRuehl" w:hint="cs"/>
          <w:spacing w:val="10"/>
          <w:sz w:val="22"/>
          <w:szCs w:val="28"/>
          <w:rtl/>
        </w:rPr>
        <w:t>כסממ"ז</w:t>
      </w:r>
      <w:proofErr w:type="spellEnd"/>
      <w:r w:rsidRPr="007F5756">
        <w:rPr>
          <w:rFonts w:ascii="Arial TUR" w:hAnsi="Arial TUR" w:cs="FrankRuehl" w:hint="cs"/>
          <w:spacing w:val="10"/>
          <w:sz w:val="22"/>
          <w:szCs w:val="28"/>
          <w:rtl/>
        </w:rPr>
        <w:t xml:space="preserve"> י-ם את ג' בנוגע לבקשתה לעבור לשרת ביחידה אחרת בירושלים, לאחר שהיחידה בה שירתה נסגרה והוחלט להעבירה לתפקיד במיקום אחר. המבקש אישר את בקשת המעבר.      </w:t>
      </w:r>
    </w:p>
    <w:p w:rsidR="00D865EA" w:rsidRPr="007F5756" w:rsidRDefault="00D865EA" w:rsidP="00D865EA">
      <w:pPr>
        <w:tabs>
          <w:tab w:val="left" w:pos="800"/>
        </w:tabs>
        <w:spacing w:line="360" w:lineRule="auto"/>
        <w:ind w:left="720"/>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Miriam" w:hAnsi="Miriam" w:cs="Miriam"/>
          <w:spacing w:val="10"/>
          <w:rtl/>
        </w:rPr>
        <w:tab/>
        <w:t>פרשייה רביעית</w:t>
      </w:r>
      <w:r w:rsidRPr="007F5756">
        <w:rPr>
          <w:rFonts w:ascii="Arial TUR" w:hAnsi="Arial TUR" w:cs="FrankRuehl" w:hint="cs"/>
          <w:spacing w:val="10"/>
          <w:rtl/>
        </w:rPr>
        <w:t xml:space="preserve"> </w:t>
      </w:r>
      <w:r w:rsidRPr="007F5756">
        <w:rPr>
          <w:rFonts w:ascii="Arial TUR" w:hAnsi="Arial TUR" w:cs="FrankRuehl"/>
          <w:spacing w:val="10"/>
          <w:sz w:val="22"/>
          <w:szCs w:val="28"/>
          <w:rtl/>
        </w:rPr>
        <w:t>–</w:t>
      </w:r>
      <w:r w:rsidRPr="007F5756">
        <w:rPr>
          <w:rFonts w:ascii="Arial TUR" w:hAnsi="Arial TUR" w:cs="FrankRuehl" w:hint="cs"/>
          <w:spacing w:val="10"/>
          <w:sz w:val="22"/>
          <w:szCs w:val="28"/>
          <w:rtl/>
        </w:rPr>
        <w:t xml:space="preserve"> בראשית שנת 2009 המבקש בתפקידו </w:t>
      </w:r>
      <w:proofErr w:type="spellStart"/>
      <w:r w:rsidRPr="007F5756">
        <w:rPr>
          <w:rFonts w:ascii="Arial TUR" w:hAnsi="Arial TUR" w:cs="FrankRuehl" w:hint="cs"/>
          <w:spacing w:val="10"/>
          <w:sz w:val="22"/>
          <w:szCs w:val="28"/>
          <w:rtl/>
        </w:rPr>
        <w:t>כסממ"ז</w:t>
      </w:r>
      <w:proofErr w:type="spellEnd"/>
      <w:r w:rsidRPr="007F5756">
        <w:rPr>
          <w:rFonts w:ascii="Arial TUR" w:hAnsi="Arial TUR" w:cs="FrankRuehl" w:hint="cs"/>
          <w:spacing w:val="10"/>
          <w:sz w:val="22"/>
          <w:szCs w:val="28"/>
          <w:rtl/>
        </w:rPr>
        <w:t xml:space="preserve"> י-ם אישר את בקשתה של השוטרת הכפופה לו ד' לעבור לשרת במחוז אחר, על רקע מצוקה אישית שנקלעה אליה. באותה עת הייתה ד' כבת 21 והנאשם כבן 50. זמן קצר לאחר </w:t>
      </w:r>
      <w:proofErr w:type="spellStart"/>
      <w:r w:rsidRPr="007F5756">
        <w:rPr>
          <w:rFonts w:ascii="Arial TUR" w:hAnsi="Arial TUR" w:cs="FrankRuehl" w:hint="cs"/>
          <w:spacing w:val="10"/>
          <w:sz w:val="22"/>
          <w:szCs w:val="28"/>
          <w:rtl/>
        </w:rPr>
        <w:t>הראיון</w:t>
      </w:r>
      <w:proofErr w:type="spellEnd"/>
      <w:r w:rsidRPr="007F5756">
        <w:rPr>
          <w:rFonts w:ascii="Arial TUR" w:hAnsi="Arial TUR" w:cs="FrankRuehl" w:hint="cs"/>
          <w:spacing w:val="10"/>
          <w:sz w:val="22"/>
          <w:szCs w:val="28"/>
          <w:rtl/>
        </w:rPr>
        <w:t xml:space="preserve"> נוצר קשר אינטימי בין השניים והם קיימו יחסי מין מספר פעמים. כשלושה שבועות לאחר המגע המיני הראשון ביניהם, ותוך שהקשר בין השניים נשמר בסוד, המבקש </w:t>
      </w:r>
      <w:r w:rsidRPr="007F5756">
        <w:rPr>
          <w:rFonts w:ascii="Arial TUR" w:hAnsi="Arial TUR" w:cs="FrankRuehl" w:hint="cs"/>
          <w:spacing w:val="10"/>
          <w:sz w:val="22"/>
          <w:szCs w:val="28"/>
          <w:rtl/>
        </w:rPr>
        <w:lastRenderedPageBreak/>
        <w:t xml:space="preserve">התקשר לקצינת משאבי </w:t>
      </w:r>
      <w:r>
        <w:rPr>
          <w:rFonts w:ascii="Arial TUR" w:hAnsi="Arial TUR" w:cs="FrankRuehl" w:hint="cs"/>
          <w:spacing w:val="10"/>
          <w:sz w:val="22"/>
          <w:szCs w:val="28"/>
          <w:rtl/>
        </w:rPr>
        <w:t>ה</w:t>
      </w:r>
      <w:r w:rsidRPr="007F5756">
        <w:rPr>
          <w:rFonts w:ascii="Arial TUR" w:hAnsi="Arial TUR" w:cs="FrankRuehl" w:hint="cs"/>
          <w:spacing w:val="10"/>
          <w:sz w:val="22"/>
          <w:szCs w:val="28"/>
          <w:rtl/>
        </w:rPr>
        <w:t>אנוש של המחוז שאליו הוחלט להעביר את ד', וביקש ממנה לזרז את הטיפול במעבר</w:t>
      </w:r>
      <w:r>
        <w:rPr>
          <w:rFonts w:ascii="Arial TUR" w:hAnsi="Arial TUR" w:cs="FrankRuehl" w:hint="cs"/>
          <w:spacing w:val="10"/>
          <w:sz w:val="22"/>
          <w:szCs w:val="28"/>
          <w:rtl/>
        </w:rPr>
        <w:t>ה</w:t>
      </w:r>
      <w:r w:rsidRPr="007F5756">
        <w:rPr>
          <w:rFonts w:ascii="Arial TUR" w:hAnsi="Arial TUR" w:cs="FrankRuehl" w:hint="cs"/>
          <w:spacing w:val="10"/>
          <w:sz w:val="22"/>
          <w:szCs w:val="28"/>
          <w:rtl/>
        </w:rPr>
        <w:t xml:space="preserve"> של ד' לאותו מחוז.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Century" w:hAnsi="Century" w:cs="Miriam"/>
          <w:b/>
          <w:sz w:val="22"/>
          <w:rtl/>
        </w:rPr>
        <w:tab/>
      </w:r>
      <w:r w:rsidRPr="007F5756">
        <w:rPr>
          <w:rFonts w:ascii="Century" w:hAnsi="Century" w:cs="Miriam" w:hint="cs"/>
          <w:b/>
          <w:sz w:val="22"/>
          <w:rtl/>
        </w:rPr>
        <w:t>פרשייה חמישית</w:t>
      </w:r>
      <w:r w:rsidRPr="007F5756">
        <w:rPr>
          <w:rFonts w:ascii="Arial TUR" w:hAnsi="Arial TUR" w:cs="FrankRuehl" w:hint="cs"/>
          <w:spacing w:val="10"/>
          <w:sz w:val="22"/>
          <w:szCs w:val="28"/>
          <w:rtl/>
        </w:rPr>
        <w:t xml:space="preserve"> </w:t>
      </w:r>
      <w:r w:rsidRPr="007F5756">
        <w:rPr>
          <w:rFonts w:ascii="Arial TUR" w:hAnsi="Arial TUR" w:cs="FrankRuehl"/>
          <w:spacing w:val="10"/>
          <w:sz w:val="22"/>
          <w:szCs w:val="28"/>
          <w:rtl/>
        </w:rPr>
        <w:t>–</w:t>
      </w:r>
      <w:r w:rsidRPr="007F5756">
        <w:rPr>
          <w:rFonts w:ascii="Arial TUR" w:hAnsi="Arial TUR" w:cs="FrankRuehl" w:hint="cs"/>
          <w:spacing w:val="10"/>
          <w:sz w:val="22"/>
          <w:szCs w:val="28"/>
          <w:rtl/>
        </w:rPr>
        <w:t xml:space="preserve"> המבקש והשוטרת הכפופה לו ה' קיימו קשר מיני בין השנים 2004-2002, שעליו חלה התיישנות, אשר החל לאחר שהמבקש אישר את בקשתה של ה' להתגייס לשירות קבע במשטרה. בכתב האישום נטען כי המבקש אישר בשנת 2008 את בקשתה של ה' לסיוע כספי למימון לימודים אקדמיים, ואולם נקבע כי מעורבותו של המבקש באישור הבקשה לא הוכחה. עוד נטען, כי בעת שהשניים ביצעו שיחת חתך תקופתית בשנת 2012, המבקש נישק את ה' בניגוד לרצונה. המבקש לא חלק על קיומה של נשיקה באותו מעמד, אך הכחיש כי הדבר היה בניגוד לרצונה של ה'. בית משפט השלום לא הכריע בעניין, לאחר שציין כי המדינה נמנעה מלהאשים את המבקש בעבירת מין בג</w:t>
      </w:r>
      <w:r>
        <w:rPr>
          <w:rFonts w:ascii="Arial TUR" w:hAnsi="Arial TUR" w:cs="FrankRuehl" w:hint="cs"/>
          <w:spacing w:val="10"/>
          <w:sz w:val="22"/>
          <w:szCs w:val="28"/>
          <w:rtl/>
        </w:rPr>
        <w:t>ין האירוע, וכי האירוע, כך לדברי בית משפט השלום</w:t>
      </w:r>
      <w:r w:rsidRPr="007F5756">
        <w:rPr>
          <w:rFonts w:ascii="Arial TUR" w:hAnsi="Arial TUR" w:cs="FrankRuehl" w:hint="cs"/>
          <w:spacing w:val="10"/>
          <w:sz w:val="22"/>
          <w:szCs w:val="28"/>
          <w:rtl/>
        </w:rPr>
        <w:t xml:space="preserve">, לא מתכתב עם יסודות </w:t>
      </w:r>
      <w:r>
        <w:rPr>
          <w:rFonts w:ascii="Arial TUR" w:hAnsi="Arial TUR" w:cs="FrankRuehl" w:hint="cs"/>
          <w:spacing w:val="10"/>
          <w:sz w:val="22"/>
          <w:szCs w:val="28"/>
          <w:rtl/>
        </w:rPr>
        <w:t>העבירה של</w:t>
      </w:r>
      <w:r w:rsidRPr="007F5756">
        <w:rPr>
          <w:rFonts w:ascii="Arial TUR" w:hAnsi="Arial TUR" w:cs="FrankRuehl" w:hint="cs"/>
          <w:spacing w:val="10"/>
          <w:sz w:val="22"/>
          <w:szCs w:val="28"/>
          <w:rtl/>
        </w:rPr>
        <w:t xml:space="preserve"> הפרת האמונים</w:t>
      </w:r>
      <w:r>
        <w:rPr>
          <w:rFonts w:ascii="Arial TUR" w:hAnsi="Arial TUR" w:cs="FrankRuehl" w:hint="cs"/>
          <w:spacing w:val="10"/>
          <w:sz w:val="22"/>
          <w:szCs w:val="28"/>
          <w:rtl/>
        </w:rPr>
        <w:t>. אף בית המשפט המחוזי לא נדרש להכריע ב</w:t>
      </w:r>
      <w:r w:rsidRPr="007F5756">
        <w:rPr>
          <w:rFonts w:ascii="Arial TUR" w:hAnsi="Arial TUR" w:cs="FrankRuehl" w:hint="cs"/>
          <w:spacing w:val="10"/>
          <w:sz w:val="22"/>
          <w:szCs w:val="28"/>
          <w:rtl/>
        </w:rPr>
        <w:t>עניין</w:t>
      </w:r>
      <w:r>
        <w:rPr>
          <w:rFonts w:ascii="Arial TUR" w:hAnsi="Arial TUR" w:cs="FrankRuehl" w:hint="cs"/>
          <w:spacing w:val="10"/>
          <w:sz w:val="22"/>
          <w:szCs w:val="28"/>
          <w:rtl/>
        </w:rPr>
        <w:t xml:space="preserve"> זה</w:t>
      </w:r>
      <w:r w:rsidRPr="007F5756">
        <w:rPr>
          <w:rFonts w:ascii="Arial TUR" w:hAnsi="Arial TUR" w:cs="FrankRuehl" w:hint="cs"/>
          <w:spacing w:val="10"/>
          <w:sz w:val="22"/>
          <w:szCs w:val="28"/>
          <w:rtl/>
        </w:rPr>
        <w:t xml:space="preserve">.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Miriam" w:hAnsi="Miriam" w:cs="Miriam"/>
          <w:spacing w:val="10"/>
          <w:rtl/>
        </w:rPr>
        <w:tab/>
        <w:t>פרשייה שמינית</w:t>
      </w:r>
      <w:r w:rsidRPr="007F5756">
        <w:rPr>
          <w:rFonts w:ascii="Arial TUR" w:hAnsi="Arial TUR" w:cs="FrankRuehl" w:hint="cs"/>
          <w:spacing w:val="10"/>
          <w:rtl/>
        </w:rPr>
        <w:t xml:space="preserve"> </w:t>
      </w:r>
      <w:r w:rsidRPr="007F5756">
        <w:rPr>
          <w:rFonts w:ascii="Arial TUR" w:hAnsi="Arial TUR" w:cs="FrankRuehl"/>
          <w:spacing w:val="10"/>
          <w:sz w:val="22"/>
          <w:szCs w:val="28"/>
          <w:rtl/>
        </w:rPr>
        <w:t>–</w:t>
      </w:r>
      <w:r w:rsidRPr="007F5756">
        <w:rPr>
          <w:rFonts w:ascii="Arial TUR" w:hAnsi="Arial TUR" w:cs="FrankRuehl" w:hint="cs"/>
          <w:spacing w:val="10"/>
          <w:sz w:val="22"/>
          <w:szCs w:val="28"/>
          <w:rtl/>
        </w:rPr>
        <w:t xml:space="preserve"> המבקש הכיר את השוטרת ח' במהלך עבודתם המשותפת כאשר המבקש כיהן </w:t>
      </w:r>
      <w:proofErr w:type="spellStart"/>
      <w:r w:rsidRPr="007F5756">
        <w:rPr>
          <w:rFonts w:ascii="Arial TUR" w:hAnsi="Arial TUR" w:cs="FrankRuehl" w:hint="cs"/>
          <w:spacing w:val="10"/>
          <w:sz w:val="22"/>
          <w:szCs w:val="28"/>
          <w:rtl/>
        </w:rPr>
        <w:t>כסממ"ז</w:t>
      </w:r>
      <w:proofErr w:type="spellEnd"/>
      <w:r w:rsidRPr="007F5756">
        <w:rPr>
          <w:rFonts w:ascii="Arial TUR" w:hAnsi="Arial TUR" w:cs="FrankRuehl" w:hint="cs"/>
          <w:spacing w:val="10"/>
          <w:sz w:val="22"/>
          <w:szCs w:val="28"/>
          <w:rtl/>
        </w:rPr>
        <w:t xml:space="preserve"> י-ם, בהיותו כבן 50, ו-ח' שירתה במטה הארצי של המשטרה, והיא בשנות העשרים לחייה. בין השניים נוצר קשר חריג שהתאפיין ברובד "</w:t>
      </w:r>
      <w:proofErr w:type="spellStart"/>
      <w:r w:rsidRPr="007F5756">
        <w:rPr>
          <w:rFonts w:ascii="Arial TUR" w:hAnsi="Arial TUR" w:cs="FrankRuehl" w:hint="cs"/>
          <w:spacing w:val="10"/>
          <w:sz w:val="22"/>
          <w:szCs w:val="28"/>
          <w:rtl/>
        </w:rPr>
        <w:t>פלירטוטי</w:t>
      </w:r>
      <w:proofErr w:type="spellEnd"/>
      <w:r w:rsidRPr="007F5756">
        <w:rPr>
          <w:rFonts w:ascii="Arial TUR" w:hAnsi="Arial TUR" w:cs="FrankRuehl" w:hint="cs"/>
          <w:spacing w:val="10"/>
          <w:sz w:val="22"/>
          <w:szCs w:val="28"/>
          <w:rtl/>
        </w:rPr>
        <w:t>-אינטימי". על רקע קשר זה, בשנת 2011, פנתה ח' למבקש וביקשה ממנו את סיועו בקיצור תקופת שירותו של בעלה השוטר ביחידה בה שירת, בשל נסיבות אישיות. המבקש</w:t>
      </w:r>
      <w:r>
        <w:rPr>
          <w:rFonts w:ascii="Arial TUR" w:hAnsi="Arial TUR" w:cs="FrankRuehl" w:hint="cs"/>
          <w:spacing w:val="10"/>
          <w:sz w:val="22"/>
          <w:szCs w:val="28"/>
          <w:rtl/>
        </w:rPr>
        <w:t>,</w:t>
      </w:r>
      <w:r w:rsidRPr="007F5756">
        <w:rPr>
          <w:rFonts w:ascii="Arial TUR" w:hAnsi="Arial TUR" w:cs="FrankRuehl" w:hint="cs"/>
          <w:spacing w:val="10"/>
          <w:sz w:val="22"/>
          <w:szCs w:val="28"/>
          <w:rtl/>
        </w:rPr>
        <w:t xml:space="preserve"> ששימש באותה עת כראש האגף לתמיכה לוגיסטית, התקשר אל מפקד היחידה בה שירת הבעל וביקש </w:t>
      </w:r>
      <w:r>
        <w:rPr>
          <w:rFonts w:ascii="Arial TUR" w:hAnsi="Arial TUR" w:cs="FrankRuehl" w:hint="cs"/>
          <w:spacing w:val="10"/>
          <w:sz w:val="22"/>
          <w:szCs w:val="28"/>
          <w:rtl/>
        </w:rPr>
        <w:t xml:space="preserve">ממנו </w:t>
      </w:r>
      <w:r w:rsidRPr="007F5756">
        <w:rPr>
          <w:rFonts w:ascii="Arial TUR" w:hAnsi="Arial TUR" w:cs="FrankRuehl" w:hint="cs"/>
          <w:spacing w:val="10"/>
          <w:sz w:val="22"/>
          <w:szCs w:val="28"/>
          <w:rtl/>
        </w:rPr>
        <w:t xml:space="preserve">לקצר את שירותו </w:t>
      </w:r>
      <w:r>
        <w:rPr>
          <w:rFonts w:ascii="Arial TUR" w:hAnsi="Arial TUR" w:cs="FrankRuehl" w:hint="cs"/>
          <w:spacing w:val="10"/>
          <w:sz w:val="22"/>
          <w:szCs w:val="28"/>
          <w:rtl/>
        </w:rPr>
        <w:t xml:space="preserve">של הבעל </w:t>
      </w:r>
      <w:r w:rsidRPr="007F5756">
        <w:rPr>
          <w:rFonts w:ascii="Arial TUR" w:hAnsi="Arial TUR" w:cs="FrankRuehl" w:hint="cs"/>
          <w:spacing w:val="10"/>
          <w:sz w:val="22"/>
          <w:szCs w:val="28"/>
          <w:rtl/>
        </w:rPr>
        <w:t>במספר חודשים. בעקבות שיחה זו, בין יתר גורמים אחרים, קוצר שירותו של הבעל</w:t>
      </w:r>
      <w:r>
        <w:rPr>
          <w:rFonts w:ascii="Arial TUR" w:hAnsi="Arial TUR" w:cs="FrankRuehl" w:hint="cs"/>
          <w:spacing w:val="10"/>
          <w:sz w:val="22"/>
          <w:szCs w:val="28"/>
          <w:rtl/>
        </w:rPr>
        <w:t xml:space="preserve"> באותה יחידה</w:t>
      </w:r>
      <w:r w:rsidRPr="007F5756">
        <w:rPr>
          <w:rFonts w:ascii="Arial TUR" w:hAnsi="Arial TUR" w:cs="FrankRuehl" w:hint="cs"/>
          <w:spacing w:val="10"/>
          <w:sz w:val="22"/>
          <w:szCs w:val="28"/>
          <w:rtl/>
        </w:rPr>
        <w:t>.</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r w:rsidRPr="007F5756">
        <w:rPr>
          <w:rFonts w:ascii="Arial TUR" w:hAnsi="Arial TUR" w:cs="FrankRuehl" w:hint="cs"/>
          <w:spacing w:val="10"/>
          <w:sz w:val="22"/>
          <w:szCs w:val="28"/>
          <w:rtl/>
        </w:rPr>
        <w:t xml:space="preserve">יוער כי במסגרת פרשייה זו הואשם המבקש גם בעבירה של מעשה מגונה, לאחר שנטען כי נישק את השוטרת ח' ונגע בה בניגוד להסכמתה, במועדים מסוימים בין השנים 2010-2008. המבקש טען </w:t>
      </w:r>
      <w:proofErr w:type="spellStart"/>
      <w:r w:rsidRPr="007F5756">
        <w:rPr>
          <w:rFonts w:ascii="Arial TUR" w:hAnsi="Arial TUR" w:cs="FrankRuehl" w:hint="cs"/>
          <w:spacing w:val="10"/>
          <w:sz w:val="22"/>
          <w:szCs w:val="28"/>
          <w:rtl/>
        </w:rPr>
        <w:t>מצידו</w:t>
      </w:r>
      <w:proofErr w:type="spellEnd"/>
      <w:r w:rsidRPr="007F5756">
        <w:rPr>
          <w:rFonts w:ascii="Arial TUR" w:hAnsi="Arial TUR" w:cs="FrankRuehl" w:hint="cs"/>
          <w:spacing w:val="10"/>
          <w:sz w:val="22"/>
          <w:szCs w:val="28"/>
          <w:rtl/>
        </w:rPr>
        <w:t xml:space="preserve"> כי המעשים המיניים נעשו בהסכמה. נקבע כי קיים ספק סביר ביחס לסוגיית ההסכמה, ומשכך זוכה המבקש מן העבירה האמורה.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Miriam" w:hAnsi="Miriam" w:cs="Miriam"/>
          <w:spacing w:val="10"/>
          <w:rtl/>
        </w:rPr>
        <w:tab/>
        <w:t>פרשייה שישית</w:t>
      </w:r>
      <w:r w:rsidRPr="007F5756">
        <w:rPr>
          <w:rFonts w:ascii="Arial TUR" w:hAnsi="Arial TUR" w:cs="FrankRuehl" w:hint="cs"/>
          <w:spacing w:val="10"/>
          <w:rtl/>
        </w:rPr>
        <w:t xml:space="preserve"> </w:t>
      </w:r>
      <w:r w:rsidRPr="007F5756">
        <w:rPr>
          <w:rFonts w:ascii="Arial TUR" w:hAnsi="Arial TUR" w:cs="FrankRuehl"/>
          <w:spacing w:val="10"/>
          <w:sz w:val="22"/>
          <w:szCs w:val="28"/>
          <w:rtl/>
        </w:rPr>
        <w:t>–</w:t>
      </w:r>
      <w:r w:rsidRPr="007F5756">
        <w:rPr>
          <w:rFonts w:ascii="Arial TUR" w:hAnsi="Arial TUR" w:cs="FrankRuehl" w:hint="cs"/>
          <w:spacing w:val="10"/>
          <w:sz w:val="22"/>
          <w:szCs w:val="28"/>
          <w:rtl/>
        </w:rPr>
        <w:t xml:space="preserve"> בשנת 2010, המבקש בתפקידו </w:t>
      </w:r>
      <w:proofErr w:type="spellStart"/>
      <w:r w:rsidRPr="007F5756">
        <w:rPr>
          <w:rFonts w:ascii="Arial TUR" w:hAnsi="Arial TUR" w:cs="FrankRuehl" w:hint="cs"/>
          <w:spacing w:val="10"/>
          <w:sz w:val="22"/>
          <w:szCs w:val="28"/>
          <w:rtl/>
        </w:rPr>
        <w:t>כסממ"ז</w:t>
      </w:r>
      <w:proofErr w:type="spellEnd"/>
      <w:r w:rsidRPr="007F5756">
        <w:rPr>
          <w:rFonts w:ascii="Arial TUR" w:hAnsi="Arial TUR" w:cs="FrankRuehl" w:hint="cs"/>
          <w:spacing w:val="10"/>
          <w:sz w:val="22"/>
          <w:szCs w:val="28"/>
          <w:rtl/>
        </w:rPr>
        <w:t xml:space="preserve"> י-ם, אישר את בקשתה של השוטרת הכפופה לו ו' לעבור תפקיד</w:t>
      </w:r>
      <w:r>
        <w:rPr>
          <w:rFonts w:ascii="Arial TUR" w:hAnsi="Arial TUR" w:cs="FrankRuehl" w:hint="cs"/>
          <w:spacing w:val="10"/>
          <w:sz w:val="22"/>
          <w:szCs w:val="28"/>
          <w:rtl/>
        </w:rPr>
        <w:t>,</w:t>
      </w:r>
      <w:r w:rsidRPr="007F5756">
        <w:rPr>
          <w:rFonts w:ascii="Arial TUR" w:hAnsi="Arial TUR" w:cs="FrankRuehl" w:hint="cs"/>
          <w:spacing w:val="10"/>
          <w:sz w:val="22"/>
          <w:szCs w:val="28"/>
          <w:rtl/>
        </w:rPr>
        <w:t xml:space="preserve"> על רקע מצוקה אישית ומשפחתית</w:t>
      </w:r>
      <w:r>
        <w:rPr>
          <w:rFonts w:ascii="Arial TUR" w:hAnsi="Arial TUR" w:cs="FrankRuehl" w:hint="cs"/>
          <w:spacing w:val="10"/>
          <w:sz w:val="22"/>
          <w:szCs w:val="28"/>
          <w:rtl/>
        </w:rPr>
        <w:t xml:space="preserve"> שנקלעה אליה</w:t>
      </w:r>
      <w:r w:rsidRPr="007F5756">
        <w:rPr>
          <w:rFonts w:ascii="Arial TUR" w:hAnsi="Arial TUR" w:cs="FrankRuehl" w:hint="cs"/>
          <w:spacing w:val="10"/>
          <w:sz w:val="22"/>
          <w:szCs w:val="28"/>
          <w:rtl/>
        </w:rPr>
        <w:t xml:space="preserve">. לאחר מכן החל בין השניים קשר טלפוני. בשנת 2012 בהיותו מפקד מחוז י-ם, ביקש המבקש להגיע לביתה של ו' בשעת ערב כדי להיפרד ממנה לפני שהוא טס לחו"ל, והיא נענתה לכך. המבקש הגיע עם רכבו המשטרתי, ו' נכנסה לרכב והם שוחחו. אז, </w:t>
      </w:r>
      <w:r w:rsidRPr="007F5756">
        <w:rPr>
          <w:rFonts w:ascii="Arial TUR" w:hAnsi="Arial TUR" w:cs="FrankRuehl" w:hint="cs"/>
          <w:spacing w:val="10"/>
          <w:sz w:val="22"/>
          <w:szCs w:val="28"/>
          <w:rtl/>
        </w:rPr>
        <w:lastRenderedPageBreak/>
        <w:t xml:space="preserve">המבקש נישק את ו' במפתיע תוך שהחדיר את לשונו לפיה, ובהמשך ניסה לנשקה פעם נוספת, בניגוד לרצונה. בגין מעשה זה הורשע המבקש גם בעבירה של מעשה מגונה. </w:t>
      </w:r>
    </w:p>
    <w:p w:rsidR="00D865EA" w:rsidRPr="007F5756" w:rsidRDefault="00D865EA" w:rsidP="00D865EA">
      <w:pPr>
        <w:tabs>
          <w:tab w:val="left" w:pos="800"/>
        </w:tabs>
        <w:spacing w:line="360" w:lineRule="auto"/>
        <w:ind w:left="720"/>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Miriam" w:hAnsi="Miriam" w:cs="Miriam"/>
          <w:spacing w:val="10"/>
          <w:rtl/>
        </w:rPr>
        <w:tab/>
        <w:t>פרשייה שביעית</w:t>
      </w:r>
      <w:r w:rsidRPr="007F5756">
        <w:rPr>
          <w:rFonts w:ascii="Arial TUR" w:hAnsi="Arial TUR" w:cs="FrankRuehl" w:hint="cs"/>
          <w:spacing w:val="10"/>
          <w:rtl/>
        </w:rPr>
        <w:t xml:space="preserve"> </w:t>
      </w:r>
      <w:r w:rsidRPr="007F5756">
        <w:rPr>
          <w:rFonts w:ascii="Arial TUR" w:hAnsi="Arial TUR" w:cs="FrankRuehl"/>
          <w:spacing w:val="10"/>
          <w:sz w:val="22"/>
          <w:szCs w:val="28"/>
          <w:rtl/>
        </w:rPr>
        <w:t>–</w:t>
      </w:r>
      <w:r w:rsidRPr="007F5756">
        <w:rPr>
          <w:rFonts w:ascii="Arial TUR" w:hAnsi="Arial TUR" w:cs="FrankRuehl" w:hint="cs"/>
          <w:spacing w:val="10"/>
          <w:sz w:val="22"/>
          <w:szCs w:val="28"/>
          <w:rtl/>
        </w:rPr>
        <w:t xml:space="preserve"> בין המבקש ואזרחית עובדת המשטרה הכפופה לו, ז', נוצר קשר טלפוני בשנת 2009. במסגרת קשר זה, שלח המבקש ל-ז' מסרון שבו שאל אותה איזה צבע תחתונים וחזייה היא לובשת. ז' לא הגיבה, והמבקש שלח לה מסרון נוסף שכלל סימני שאלה. בית המשפט המחוזי קבע כי מדובר במסרון בעל גוון מיני מטריד הכולל ה</w:t>
      </w:r>
      <w:r>
        <w:rPr>
          <w:rFonts w:ascii="Arial TUR" w:hAnsi="Arial TUR" w:cs="FrankRuehl" w:hint="cs"/>
          <w:spacing w:val="10"/>
          <w:sz w:val="22"/>
          <w:szCs w:val="28"/>
          <w:rtl/>
        </w:rPr>
        <w:t>צעה</w:t>
      </w:r>
      <w:r w:rsidRPr="007F5756">
        <w:rPr>
          <w:rFonts w:ascii="Arial TUR" w:hAnsi="Arial TUR" w:cs="FrankRuehl" w:hint="cs"/>
          <w:spacing w:val="10"/>
          <w:sz w:val="22"/>
          <w:szCs w:val="28"/>
          <w:rtl/>
        </w:rPr>
        <w:t xml:space="preserve"> חוזרת, ובגין כך הורשע המבקש גם בעבירה של הטרדה מינית.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hint="cs"/>
          <w:spacing w:val="10"/>
          <w:sz w:val="22"/>
          <w:szCs w:val="28"/>
          <w:rtl/>
        </w:rPr>
        <w:t>19.</w:t>
      </w:r>
      <w:r w:rsidRPr="007F5756">
        <w:rPr>
          <w:rFonts w:ascii="Arial TUR" w:hAnsi="Arial TUR" w:cs="FrankRuehl"/>
          <w:spacing w:val="10"/>
          <w:sz w:val="22"/>
          <w:szCs w:val="28"/>
          <w:rtl/>
        </w:rPr>
        <w:tab/>
      </w:r>
      <w:r w:rsidRPr="007F5756">
        <w:rPr>
          <w:rFonts w:ascii="Arial TUR" w:hAnsi="Arial TUR" w:cs="FrankRuehl" w:hint="cs"/>
          <w:spacing w:val="10"/>
          <w:sz w:val="22"/>
          <w:szCs w:val="28"/>
          <w:rtl/>
        </w:rPr>
        <w:t xml:space="preserve">המסכת העובדתית האמורה מלמדת אותנו, ראשית, על ניסיון שיטתי של המבקש ליצור קשרים אינטימיים אסורים עם שוטרות הכפופות לו, כפי שהתבטא בכל הפרשיות. בפרשייה השישית והשביעית הדבר נעשה בניגוד לרצונן של השוטרות, וביתר המקרים קיים המבקש קשרים מיניים עם </w:t>
      </w:r>
      <w:r>
        <w:rPr>
          <w:rFonts w:ascii="Arial TUR" w:hAnsi="Arial TUR" w:cs="FrankRuehl" w:hint="cs"/>
          <w:spacing w:val="10"/>
          <w:sz w:val="22"/>
          <w:szCs w:val="28"/>
          <w:rtl/>
        </w:rPr>
        <w:t>שוטרות ה</w:t>
      </w:r>
      <w:r w:rsidRPr="007F5756">
        <w:rPr>
          <w:rFonts w:ascii="Arial TUR" w:hAnsi="Arial TUR" w:cs="FrankRuehl" w:hint="cs"/>
          <w:spacing w:val="10"/>
          <w:sz w:val="22"/>
          <w:szCs w:val="28"/>
          <w:rtl/>
        </w:rPr>
        <w:t xml:space="preserve">כפופות לו בהסכמה. כפי שצוין, על הקשר האינטימי המוסכם בין המבקש לשוטרות בפרשייה הראשונה והחמישית, חלה התיישנות. מעבר לכך, בחמש פרשיות שונות (פרשיות 4-1 ו-8), נקבע שהמבקש טיפל בבקשות שונות שהגישו השוטרות בנוגע לתנאי שירותן, או שנטל על עצמו במסגרת תפקידו לסייע להן, לאחר שקיים עמן קשר מיני. זאת עשה המבקש </w:t>
      </w:r>
      <w:r>
        <w:rPr>
          <w:rFonts w:ascii="Arial TUR" w:hAnsi="Arial TUR" w:cs="FrankRuehl" w:hint="cs"/>
          <w:spacing w:val="10"/>
          <w:sz w:val="22"/>
          <w:szCs w:val="28"/>
          <w:rtl/>
        </w:rPr>
        <w:t xml:space="preserve">חרף היותו מצוי </w:t>
      </w:r>
      <w:r w:rsidRPr="007F5756">
        <w:rPr>
          <w:rFonts w:ascii="Arial TUR" w:hAnsi="Arial TUR" w:cs="FrankRuehl" w:hint="cs"/>
          <w:spacing w:val="10"/>
          <w:sz w:val="22"/>
          <w:szCs w:val="28"/>
          <w:rtl/>
        </w:rPr>
        <w:t xml:space="preserve">במצב של ניגוד עניינים, </w:t>
      </w:r>
      <w:r>
        <w:rPr>
          <w:rFonts w:ascii="Arial TUR" w:hAnsi="Arial TUR" w:cs="FrankRuehl" w:hint="cs"/>
          <w:spacing w:val="10"/>
          <w:sz w:val="22"/>
          <w:szCs w:val="28"/>
          <w:rtl/>
        </w:rPr>
        <w:t>ו</w:t>
      </w:r>
      <w:r w:rsidRPr="007F5756">
        <w:rPr>
          <w:rFonts w:ascii="Arial TUR" w:hAnsi="Arial TUR" w:cs="FrankRuehl" w:hint="cs"/>
          <w:spacing w:val="10"/>
          <w:sz w:val="22"/>
          <w:szCs w:val="28"/>
          <w:rtl/>
        </w:rPr>
        <w:t>כ</w:t>
      </w:r>
      <w:r>
        <w:rPr>
          <w:rFonts w:ascii="Arial TUR" w:hAnsi="Arial TUR" w:cs="FrankRuehl" w:hint="cs"/>
          <w:spacing w:val="10"/>
          <w:sz w:val="22"/>
          <w:szCs w:val="28"/>
          <w:rtl/>
        </w:rPr>
        <w:t xml:space="preserve">אשר הקשרים נשמרו בסוד ולא דווחו </w:t>
      </w:r>
      <w:r w:rsidRPr="007F5756">
        <w:rPr>
          <w:rFonts w:ascii="Arial TUR" w:hAnsi="Arial TUR" w:cs="FrankRuehl" w:hint="cs"/>
          <w:spacing w:val="10"/>
          <w:sz w:val="22"/>
          <w:szCs w:val="28"/>
          <w:rtl/>
        </w:rPr>
        <w:t xml:space="preserve">לממונים. בכל אחת מחמש </w:t>
      </w:r>
      <w:r>
        <w:rPr>
          <w:rFonts w:ascii="Arial TUR" w:hAnsi="Arial TUR" w:cs="FrankRuehl" w:hint="cs"/>
          <w:spacing w:val="10"/>
          <w:sz w:val="22"/>
          <w:szCs w:val="28"/>
          <w:rtl/>
        </w:rPr>
        <w:t>הפרשיות הללו דובר על פעולה אחת שבוצעה ב</w:t>
      </w:r>
      <w:r w:rsidRPr="007F5756">
        <w:rPr>
          <w:rFonts w:ascii="Arial TUR" w:hAnsi="Arial TUR" w:cs="FrankRuehl" w:hint="cs"/>
          <w:spacing w:val="10"/>
          <w:sz w:val="22"/>
          <w:szCs w:val="28"/>
          <w:rtl/>
        </w:rPr>
        <w:t xml:space="preserve">ניגוד עניינים, כאשר בפרשייה השנייה עסקינן בשתי פעולות. המעשים הפסולים של המבקש בכל הפרשיות וביחס לכל השוטרות </w:t>
      </w:r>
      <w:r w:rsidRPr="007F5756">
        <w:rPr>
          <w:rFonts w:ascii="Arial TUR" w:hAnsi="Arial TUR" w:cs="FrankRuehl"/>
          <w:spacing w:val="10"/>
          <w:sz w:val="22"/>
          <w:szCs w:val="28"/>
          <w:rtl/>
        </w:rPr>
        <w:t>–</w:t>
      </w:r>
      <w:r>
        <w:rPr>
          <w:rFonts w:ascii="Arial TUR" w:hAnsi="Arial TUR" w:cs="FrankRuehl" w:hint="cs"/>
          <w:spacing w:val="10"/>
          <w:sz w:val="22"/>
          <w:szCs w:val="28"/>
          <w:rtl/>
        </w:rPr>
        <w:t xml:space="preserve"> בין אם המגעים המיניים האסורים</w:t>
      </w:r>
      <w:r w:rsidRPr="007F5756">
        <w:rPr>
          <w:rFonts w:ascii="Arial TUR" w:hAnsi="Arial TUR" w:cs="FrankRuehl" w:hint="cs"/>
          <w:spacing w:val="10"/>
          <w:sz w:val="22"/>
          <w:szCs w:val="28"/>
          <w:rtl/>
        </w:rPr>
        <w:t xml:space="preserve"> עם </w:t>
      </w:r>
      <w:r>
        <w:rPr>
          <w:rFonts w:ascii="Arial TUR" w:hAnsi="Arial TUR" w:cs="FrankRuehl" w:hint="cs"/>
          <w:spacing w:val="10"/>
          <w:sz w:val="22"/>
          <w:szCs w:val="28"/>
          <w:rtl/>
        </w:rPr>
        <w:t>ה</w:t>
      </w:r>
      <w:r w:rsidRPr="007F5756">
        <w:rPr>
          <w:rFonts w:ascii="Arial TUR" w:hAnsi="Arial TUR" w:cs="FrankRuehl" w:hint="cs"/>
          <w:spacing w:val="10"/>
          <w:sz w:val="22"/>
          <w:szCs w:val="28"/>
          <w:rtl/>
        </w:rPr>
        <w:t>כפיפות או</w:t>
      </w:r>
      <w:r>
        <w:rPr>
          <w:rFonts w:ascii="Arial TUR" w:hAnsi="Arial TUR" w:cs="FrankRuehl" w:hint="cs"/>
          <w:spacing w:val="10"/>
          <w:sz w:val="22"/>
          <w:szCs w:val="28"/>
          <w:rtl/>
        </w:rPr>
        <w:t xml:space="preserve"> הטיפול בבקשות האישיות שלהן בהמשך </w:t>
      </w:r>
      <w:r w:rsidRPr="007F5756">
        <w:rPr>
          <w:rFonts w:ascii="Arial TUR" w:hAnsi="Arial TUR" w:cs="FrankRuehl"/>
          <w:spacing w:val="10"/>
          <w:sz w:val="22"/>
          <w:szCs w:val="28"/>
          <w:rtl/>
        </w:rPr>
        <w:t>–</w:t>
      </w:r>
      <w:r>
        <w:rPr>
          <w:rFonts w:ascii="Arial TUR" w:hAnsi="Arial TUR" w:cs="FrankRuehl" w:hint="cs"/>
          <w:spacing w:val="10"/>
          <w:sz w:val="22"/>
          <w:szCs w:val="28"/>
          <w:rtl/>
        </w:rPr>
        <w:t xml:space="preserve"> נעשו במרחק שנע החל</w:t>
      </w:r>
      <w:r w:rsidRPr="007F5756">
        <w:rPr>
          <w:rFonts w:ascii="Arial TUR" w:hAnsi="Arial TUR" w:cs="FrankRuehl" w:hint="cs"/>
          <w:spacing w:val="10"/>
          <w:sz w:val="22"/>
          <w:szCs w:val="28"/>
          <w:rtl/>
        </w:rPr>
        <w:t xml:space="preserve"> </w:t>
      </w:r>
      <w:r>
        <w:rPr>
          <w:rFonts w:ascii="Arial TUR" w:hAnsi="Arial TUR" w:cs="FrankRuehl" w:hint="cs"/>
          <w:spacing w:val="10"/>
          <w:sz w:val="22"/>
          <w:szCs w:val="28"/>
          <w:rtl/>
        </w:rPr>
        <w:t>משבועות ספורים ועד ל</w:t>
      </w:r>
      <w:r w:rsidRPr="007F5756">
        <w:rPr>
          <w:rFonts w:ascii="Arial TUR" w:hAnsi="Arial TUR" w:cs="FrankRuehl" w:hint="cs"/>
          <w:spacing w:val="10"/>
          <w:sz w:val="22"/>
          <w:szCs w:val="28"/>
          <w:rtl/>
        </w:rPr>
        <w:t xml:space="preserve">שנה בין מעשה פסול אחד למשנהו. כל זאת נמשך על פני חמש שנים, כאשר הסתרת המעשים הייתה רצופה בכל התקופה.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r w:rsidRPr="007F5756">
        <w:rPr>
          <w:rFonts w:ascii="Arial TUR" w:hAnsi="Arial TUR" w:cs="FrankRuehl" w:hint="cs"/>
          <w:spacing w:val="10"/>
          <w:sz w:val="22"/>
          <w:szCs w:val="28"/>
          <w:rtl/>
        </w:rPr>
        <w:t>דפוס ההתנהגות הפסול של המבקש כולל אפוא שני</w:t>
      </w:r>
      <w:r>
        <w:rPr>
          <w:rFonts w:ascii="Arial TUR" w:hAnsi="Arial TUR" w:cs="FrankRuehl" w:hint="cs"/>
          <w:spacing w:val="10"/>
          <w:sz w:val="22"/>
          <w:szCs w:val="28"/>
          <w:rtl/>
        </w:rPr>
        <w:t xml:space="preserve"> שלבים, השזורים זה בזה. בשלב הראשון</w:t>
      </w:r>
      <w:r w:rsidRPr="007F5756">
        <w:rPr>
          <w:rFonts w:ascii="Arial TUR" w:hAnsi="Arial TUR" w:cs="FrankRuehl" w:hint="cs"/>
          <w:spacing w:val="10"/>
          <w:sz w:val="22"/>
          <w:szCs w:val="28"/>
          <w:rtl/>
        </w:rPr>
        <w:t>,</w:t>
      </w:r>
      <w:r>
        <w:rPr>
          <w:rFonts w:ascii="Arial TUR" w:hAnsi="Arial TUR" w:cs="FrankRuehl" w:hint="cs"/>
          <w:spacing w:val="10"/>
          <w:sz w:val="22"/>
          <w:szCs w:val="28"/>
          <w:rtl/>
        </w:rPr>
        <w:t xml:space="preserve"> מדובר על קיום יחסים אינטימיים אסורים עם </w:t>
      </w:r>
      <w:r w:rsidRPr="007F5756">
        <w:rPr>
          <w:rFonts w:ascii="Arial TUR" w:hAnsi="Arial TUR" w:cs="FrankRuehl" w:hint="cs"/>
          <w:spacing w:val="10"/>
          <w:sz w:val="22"/>
          <w:szCs w:val="28"/>
          <w:rtl/>
        </w:rPr>
        <w:t>כפיפות</w:t>
      </w:r>
      <w:r>
        <w:rPr>
          <w:rFonts w:ascii="Arial TUR" w:hAnsi="Arial TUR" w:cs="FrankRuehl" w:hint="cs"/>
          <w:spacing w:val="10"/>
          <w:sz w:val="22"/>
          <w:szCs w:val="28"/>
          <w:rtl/>
        </w:rPr>
        <w:t>, באופן שקולע את המבקש, כפי שיוסבר בהמשך, למצב מובנה של ניגוד עניינים. בשלב השני, מדובר על טיפול בבקשותיהן האישיות של אותן כפיפות, חרף ההימצאות בניגוד עניינים. כפי שיפורט להלן,</w:t>
      </w:r>
      <w:r w:rsidRPr="00AE4506">
        <w:rPr>
          <w:rFonts w:ascii="Arial TUR" w:hAnsi="Arial TUR" w:cs="FrankRuehl" w:hint="cs"/>
          <w:spacing w:val="10"/>
          <w:sz w:val="22"/>
          <w:szCs w:val="28"/>
          <w:rtl/>
        </w:rPr>
        <w:t xml:space="preserve"> כאשר התנהגות </w:t>
      </w:r>
      <w:r>
        <w:rPr>
          <w:rFonts w:ascii="Arial TUR" w:hAnsi="Arial TUR" w:cs="FrankRuehl" w:hint="cs"/>
          <w:spacing w:val="10"/>
          <w:sz w:val="22"/>
          <w:szCs w:val="28"/>
          <w:rtl/>
        </w:rPr>
        <w:t xml:space="preserve">זו על שני שלביה נבחנת בכללותה על-פי </w:t>
      </w:r>
      <w:r w:rsidRPr="007F5756">
        <w:rPr>
          <w:rFonts w:ascii="Arial TUR" w:hAnsi="Arial TUR" w:cs="FrankRuehl" w:hint="cs"/>
          <w:spacing w:val="10"/>
          <w:sz w:val="22"/>
          <w:szCs w:val="28"/>
          <w:rtl/>
        </w:rPr>
        <w:t>המבחנים שנקבעו בדין</w:t>
      </w:r>
      <w:r>
        <w:rPr>
          <w:rFonts w:ascii="Arial TUR" w:hAnsi="Arial TUR" w:cs="FrankRuehl" w:hint="cs"/>
          <w:spacing w:val="10"/>
          <w:sz w:val="22"/>
          <w:szCs w:val="28"/>
          <w:rtl/>
        </w:rPr>
        <w:t xml:space="preserve"> ובפסיקה, היא מגבשת</w:t>
      </w:r>
      <w:r w:rsidRPr="007F5756">
        <w:rPr>
          <w:rFonts w:ascii="Arial TUR" w:hAnsi="Arial TUR" w:cs="FrankRuehl" w:hint="cs"/>
          <w:spacing w:val="10"/>
          <w:sz w:val="22"/>
          <w:szCs w:val="28"/>
          <w:rtl/>
        </w:rPr>
        <w:t xml:space="preserve"> באופן מובהק</w:t>
      </w:r>
      <w:r>
        <w:rPr>
          <w:rFonts w:ascii="Arial TUR" w:hAnsi="Arial TUR" w:cs="FrankRuehl" w:hint="cs"/>
          <w:spacing w:val="10"/>
          <w:sz w:val="22"/>
          <w:szCs w:val="28"/>
          <w:rtl/>
        </w:rPr>
        <w:t xml:space="preserve"> </w:t>
      </w:r>
      <w:r w:rsidRPr="007F5756">
        <w:rPr>
          <w:rFonts w:ascii="Arial TUR" w:hAnsi="Arial TUR" w:cs="FrankRuehl" w:hint="cs"/>
          <w:spacing w:val="10"/>
          <w:sz w:val="22"/>
          <w:szCs w:val="28"/>
          <w:rtl/>
        </w:rPr>
        <w:t xml:space="preserve">עבירה פלילית של הפרת אמונים.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r w:rsidRPr="007F5756">
        <w:rPr>
          <w:rFonts w:ascii="Arial TUR" w:hAnsi="Arial TUR" w:cs="FrankRuehl" w:hint="cs"/>
          <w:spacing w:val="10"/>
          <w:sz w:val="22"/>
          <w:szCs w:val="28"/>
          <w:rtl/>
        </w:rPr>
        <w:t>אפתח בהתייחסות ל</w:t>
      </w:r>
      <w:r>
        <w:rPr>
          <w:rFonts w:ascii="Arial TUR" w:hAnsi="Arial TUR" w:cs="FrankRuehl" w:hint="cs"/>
          <w:spacing w:val="10"/>
          <w:sz w:val="22"/>
          <w:szCs w:val="28"/>
          <w:rtl/>
        </w:rPr>
        <w:t xml:space="preserve">שלב הראשון </w:t>
      </w:r>
      <w:r w:rsidRPr="007F5756">
        <w:rPr>
          <w:rFonts w:ascii="Arial TUR" w:hAnsi="Arial TUR" w:cs="FrankRuehl" w:hint="cs"/>
          <w:spacing w:val="10"/>
          <w:sz w:val="22"/>
          <w:szCs w:val="28"/>
          <w:rtl/>
        </w:rPr>
        <w:t xml:space="preserve">הנוגע לקיומם של קשרים עם כפיפות.  </w:t>
      </w:r>
    </w:p>
    <w:p w:rsidR="00D865EA" w:rsidRDefault="00D865EA" w:rsidP="00D865EA">
      <w:pPr>
        <w:tabs>
          <w:tab w:val="left" w:pos="800"/>
        </w:tabs>
        <w:spacing w:line="360" w:lineRule="auto"/>
        <w:jc w:val="both"/>
        <w:rPr>
          <w:rFonts w:ascii="Arial TUR" w:hAnsi="Arial TUR" w:cs="FrankRuehl"/>
          <w:spacing w:val="10"/>
          <w:sz w:val="22"/>
          <w:szCs w:val="28"/>
          <w:rtl/>
        </w:rPr>
      </w:pPr>
    </w:p>
    <w:p w:rsidR="00892B63" w:rsidRPr="007F5756" w:rsidRDefault="00892B63"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Miriam" w:hAnsi="Miriam" w:cs="Miriam"/>
          <w:spacing w:val="10"/>
          <w:rtl/>
        </w:rPr>
      </w:pPr>
      <w:r w:rsidRPr="007F5756">
        <w:rPr>
          <w:rFonts w:ascii="Miriam" w:hAnsi="Miriam" w:cs="Miriam"/>
          <w:spacing w:val="10"/>
          <w:rtl/>
        </w:rPr>
        <w:lastRenderedPageBreak/>
        <w:tab/>
      </w:r>
      <w:r>
        <w:rPr>
          <w:rFonts w:ascii="Miriam" w:hAnsi="Miriam" w:cs="Miriam" w:hint="cs"/>
          <w:spacing w:val="10"/>
          <w:rtl/>
        </w:rPr>
        <w:t xml:space="preserve">השלב הראשון: </w:t>
      </w:r>
      <w:r w:rsidRPr="007F5756">
        <w:rPr>
          <w:rFonts w:ascii="Miriam" w:hAnsi="Miriam" w:cs="Miriam" w:hint="cs"/>
          <w:spacing w:val="10"/>
          <w:rtl/>
        </w:rPr>
        <w:t>קיומם של קשרים אינטימיים אסורים עם כפיפות</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hint="cs"/>
          <w:spacing w:val="10"/>
          <w:sz w:val="22"/>
          <w:szCs w:val="28"/>
          <w:rtl/>
        </w:rPr>
        <w:t>20.</w:t>
      </w:r>
      <w:r w:rsidRPr="007F5756">
        <w:rPr>
          <w:rFonts w:ascii="Arial TUR" w:hAnsi="Arial TUR" w:cs="FrankRuehl"/>
          <w:spacing w:val="10"/>
          <w:sz w:val="22"/>
          <w:szCs w:val="28"/>
          <w:rtl/>
        </w:rPr>
        <w:tab/>
      </w:r>
      <w:r>
        <w:rPr>
          <w:rFonts w:ascii="Arial TUR" w:hAnsi="Arial TUR" w:cs="FrankRuehl" w:hint="cs"/>
          <w:spacing w:val="10"/>
          <w:sz w:val="22"/>
          <w:szCs w:val="28"/>
          <w:rtl/>
        </w:rPr>
        <w:t>ביחס לנושא הקשרים האסורים</w:t>
      </w:r>
      <w:r w:rsidRPr="007F5756">
        <w:rPr>
          <w:rFonts w:ascii="Arial TUR" w:hAnsi="Arial TUR" w:cs="FrankRuehl" w:hint="cs"/>
          <w:spacing w:val="10"/>
          <w:sz w:val="22"/>
          <w:szCs w:val="28"/>
          <w:rtl/>
        </w:rPr>
        <w:t xml:space="preserve">, העלה המבקש מספר טענות שיש להשיב להן.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r w:rsidRPr="007F5756">
        <w:rPr>
          <w:rFonts w:ascii="Arial TUR" w:hAnsi="Arial TUR" w:cs="FrankRuehl" w:hint="cs"/>
          <w:spacing w:val="10"/>
          <w:sz w:val="22"/>
          <w:szCs w:val="28"/>
          <w:rtl/>
        </w:rPr>
        <w:t xml:space="preserve">ראשית, נטען כי העמדה שלפיה יצירת קשרים אינטימיים עם כפיפות </w:t>
      </w:r>
      <w:r>
        <w:rPr>
          <w:rFonts w:ascii="Arial TUR" w:hAnsi="Arial TUR" w:cs="FrankRuehl" w:hint="cs"/>
          <w:spacing w:val="10"/>
          <w:sz w:val="22"/>
          <w:szCs w:val="28"/>
          <w:rtl/>
        </w:rPr>
        <w:t>מהווה</w:t>
      </w:r>
      <w:r w:rsidRPr="007F5756">
        <w:rPr>
          <w:rFonts w:ascii="Arial TUR" w:hAnsi="Arial TUR" w:cs="FrankRuehl" w:hint="cs"/>
          <w:spacing w:val="10"/>
          <w:sz w:val="22"/>
          <w:szCs w:val="28"/>
          <w:rtl/>
        </w:rPr>
        <w:t xml:space="preserve"> הפרת אמונים, הועלתה על ידי המדינה לראשונה רק בערעור בבית המשפט המחוזי. טענה זו של המבקש נידונה ונדחתה בפסק דינו של בית המשפט המחוזי, ולא ראיתי להתערב בכך (ראו: עמ' 32-31 לפסק דינו של בית המשפט המחוזי). בתמצית ייאמר, כי כתב האישום שהוגש ציין במפורש כי האישום בהפרת אמונים מבוסס על מכלול מעשיו של המבקש. בגדר מכלול זה פורטו, לצד </w:t>
      </w:r>
      <w:r>
        <w:rPr>
          <w:rFonts w:ascii="Arial TUR" w:hAnsi="Arial TUR" w:cs="FrankRuehl" w:hint="cs"/>
          <w:spacing w:val="10"/>
          <w:sz w:val="22"/>
          <w:szCs w:val="28"/>
          <w:rtl/>
        </w:rPr>
        <w:t xml:space="preserve">הפעולות בניגוד עניינים שבוצעו בהמשך, גם הקשרים האינטימיים האסורים שקדמו לפעולות אלה, על נסיבותיהם ואופיים. </w:t>
      </w:r>
      <w:r w:rsidRPr="007F5756">
        <w:rPr>
          <w:rFonts w:ascii="Arial TUR" w:hAnsi="Arial TUR" w:cs="FrankRuehl" w:hint="cs"/>
          <w:spacing w:val="10"/>
          <w:sz w:val="22"/>
          <w:szCs w:val="28"/>
          <w:rtl/>
        </w:rPr>
        <w:t>כן הודגש כי יצירת הקשרים נעשתה בניגוד לחובות שבהן חב המבקש כעובד ציבור, ובאופן שהיה בו כדי לפגוע באמון השוטרים במפקדיהם. התשתית העו</w:t>
      </w:r>
      <w:r>
        <w:rPr>
          <w:rFonts w:ascii="Arial TUR" w:hAnsi="Arial TUR" w:cs="FrankRuehl" w:hint="cs"/>
          <w:spacing w:val="10"/>
          <w:sz w:val="22"/>
          <w:szCs w:val="28"/>
          <w:rtl/>
        </w:rPr>
        <w:t>בדתית שהונחה מבססת את קיומם של קשרים אלה, ולמבקש ניתנה ה</w:t>
      </w:r>
      <w:r w:rsidRPr="007F5756">
        <w:rPr>
          <w:rFonts w:ascii="Arial TUR" w:hAnsi="Arial TUR" w:cs="FrankRuehl" w:hint="cs"/>
          <w:spacing w:val="10"/>
          <w:sz w:val="22"/>
          <w:szCs w:val="28"/>
          <w:rtl/>
        </w:rPr>
        <w:t>אפשרות לשטוח את הגנתו בהקש</w:t>
      </w:r>
      <w:r>
        <w:rPr>
          <w:rFonts w:ascii="Arial TUR" w:hAnsi="Arial TUR" w:cs="FrankRuehl" w:hint="cs"/>
          <w:spacing w:val="10"/>
          <w:sz w:val="22"/>
          <w:szCs w:val="28"/>
          <w:rtl/>
        </w:rPr>
        <w:t>ר זה. משכך, לא מצאתי בסיס לטענתו</w:t>
      </w:r>
      <w:r w:rsidRPr="007F5756">
        <w:rPr>
          <w:rFonts w:ascii="Arial TUR" w:hAnsi="Arial TUR" w:cs="FrankRuehl" w:hint="cs"/>
          <w:spacing w:val="10"/>
          <w:sz w:val="22"/>
          <w:szCs w:val="28"/>
          <w:rtl/>
        </w:rPr>
        <w:t xml:space="preserve"> בדבר חוסר צד</w:t>
      </w:r>
      <w:r>
        <w:rPr>
          <w:rFonts w:ascii="Arial TUR" w:hAnsi="Arial TUR" w:cs="FrankRuehl" w:hint="cs"/>
          <w:spacing w:val="10"/>
          <w:sz w:val="22"/>
          <w:szCs w:val="28"/>
          <w:rtl/>
        </w:rPr>
        <w:t>ק שנגרם לו או פגיעה בזכותו להליך</w:t>
      </w:r>
      <w:r w:rsidRPr="007F5756">
        <w:rPr>
          <w:rFonts w:ascii="Arial TUR" w:hAnsi="Arial TUR" w:cs="FrankRuehl" w:hint="cs"/>
          <w:spacing w:val="10"/>
          <w:sz w:val="22"/>
          <w:szCs w:val="28"/>
          <w:rtl/>
        </w:rPr>
        <w:t xml:space="preserve"> הוגן.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r w:rsidRPr="007F5756">
        <w:rPr>
          <w:rFonts w:ascii="Arial TUR" w:hAnsi="Arial TUR" w:cs="FrankRuehl" w:hint="cs"/>
          <w:spacing w:val="10"/>
          <w:sz w:val="22"/>
          <w:szCs w:val="28"/>
          <w:rtl/>
        </w:rPr>
        <w:t>עוד טען המבקש, כי מקום שקיימת עבירה ספציפית של קיום יחסים תוך ניצ</w:t>
      </w:r>
      <w:r>
        <w:rPr>
          <w:rFonts w:ascii="Arial TUR" w:hAnsi="Arial TUR" w:cs="FrankRuehl" w:hint="cs"/>
          <w:spacing w:val="10"/>
          <w:sz w:val="22"/>
          <w:szCs w:val="28"/>
          <w:rtl/>
        </w:rPr>
        <w:t xml:space="preserve">ול מרות בעבודה, אזי על התביעה </w:t>
      </w:r>
      <w:proofErr w:type="spellStart"/>
      <w:r>
        <w:rPr>
          <w:rFonts w:ascii="Arial TUR" w:hAnsi="Arial TUR" w:cs="FrankRuehl" w:hint="cs"/>
          <w:spacing w:val="10"/>
          <w:sz w:val="22"/>
          <w:szCs w:val="28"/>
          <w:rtl/>
        </w:rPr>
        <w:t>לי</w:t>
      </w:r>
      <w:r w:rsidRPr="007F5756">
        <w:rPr>
          <w:rFonts w:ascii="Arial TUR" w:hAnsi="Arial TUR" w:cs="FrankRuehl" w:hint="cs"/>
          <w:spacing w:val="10"/>
          <w:sz w:val="22"/>
          <w:szCs w:val="28"/>
          <w:rtl/>
        </w:rPr>
        <w:t>יחסה</w:t>
      </w:r>
      <w:proofErr w:type="spellEnd"/>
      <w:r w:rsidRPr="007F5756">
        <w:rPr>
          <w:rFonts w:ascii="Arial TUR" w:hAnsi="Arial TUR" w:cs="FrankRuehl" w:hint="cs"/>
          <w:spacing w:val="10"/>
          <w:sz w:val="22"/>
          <w:szCs w:val="28"/>
          <w:rtl/>
        </w:rPr>
        <w:t xml:space="preserve"> לנאשמים במקרים המתאימים, מבלי שיתאפשר לה לחמוק מכך על ידי ייחוס "עבירת סל" של הפרת אמונים. טענה זו מחמיצה את העובדה כי כל אחת מן העבירות מגנה על ערכים שונים. עבירת הפרת האמונים אינה עוסקת רק בהגנה על הכפיפה או בפגיעה בה, אלא המיקוד שלה הוא בפגיעה שנגרמת לציבור. זו גם הסיבה לכך שמנקודת </w:t>
      </w:r>
      <w:r>
        <w:rPr>
          <w:rFonts w:ascii="Arial TUR" w:hAnsi="Arial TUR" w:cs="FrankRuehl" w:hint="cs"/>
          <w:spacing w:val="10"/>
          <w:sz w:val="22"/>
          <w:szCs w:val="28"/>
          <w:rtl/>
        </w:rPr>
        <w:t>ה</w:t>
      </w:r>
      <w:r w:rsidRPr="007F5756">
        <w:rPr>
          <w:rFonts w:ascii="Arial TUR" w:hAnsi="Arial TUR" w:cs="FrankRuehl" w:hint="cs"/>
          <w:spacing w:val="10"/>
          <w:sz w:val="22"/>
          <w:szCs w:val="28"/>
          <w:rtl/>
        </w:rPr>
        <w:t>מבט של הערכים המוגנים על ידי עביר</w:t>
      </w:r>
      <w:r>
        <w:rPr>
          <w:rFonts w:ascii="Arial TUR" w:hAnsi="Arial TUR" w:cs="FrankRuehl" w:hint="cs"/>
          <w:spacing w:val="10"/>
          <w:sz w:val="22"/>
          <w:szCs w:val="28"/>
          <w:rtl/>
        </w:rPr>
        <w:t>ת הפרת האמונים</w:t>
      </w:r>
      <w:r w:rsidRPr="007F5756">
        <w:rPr>
          <w:rFonts w:ascii="Arial TUR" w:hAnsi="Arial TUR" w:cs="FrankRuehl" w:hint="cs"/>
          <w:spacing w:val="10"/>
          <w:sz w:val="22"/>
          <w:szCs w:val="28"/>
          <w:rtl/>
        </w:rPr>
        <w:t xml:space="preserve">, אין הכרח כי היחסים האינטימיים יתקיימו בהסכמה שהושגה על-ידי ניצול מרות. החשוב הוא ההשפעה של </w:t>
      </w:r>
      <w:r>
        <w:rPr>
          <w:rFonts w:ascii="Arial TUR" w:hAnsi="Arial TUR" w:cs="FrankRuehl" w:hint="cs"/>
          <w:spacing w:val="10"/>
          <w:sz w:val="22"/>
          <w:szCs w:val="28"/>
          <w:rtl/>
        </w:rPr>
        <w:t xml:space="preserve">אותם קשרים </w:t>
      </w:r>
      <w:r w:rsidRPr="00AE4506">
        <w:rPr>
          <w:rFonts w:ascii="Arial TUR" w:hAnsi="Arial TUR" w:cs="FrankRuehl" w:hint="cs"/>
          <w:spacing w:val="10"/>
          <w:sz w:val="22"/>
          <w:szCs w:val="28"/>
          <w:rtl/>
        </w:rPr>
        <w:t>וההשלכות הנגזרות מהם</w:t>
      </w:r>
      <w:r>
        <w:rPr>
          <w:rFonts w:ascii="Arial TUR" w:hAnsi="Arial TUR" w:cs="FrankRuehl" w:hint="cs"/>
          <w:spacing w:val="10"/>
          <w:sz w:val="22"/>
          <w:szCs w:val="28"/>
          <w:rtl/>
        </w:rPr>
        <w:t>,</w:t>
      </w:r>
      <w:r w:rsidRPr="007F5756">
        <w:rPr>
          <w:rFonts w:ascii="Arial TUR" w:hAnsi="Arial TUR" w:cs="FrankRuehl" w:hint="cs"/>
          <w:spacing w:val="10"/>
          <w:sz w:val="22"/>
          <w:szCs w:val="28"/>
          <w:rtl/>
        </w:rPr>
        <w:t xml:space="preserve"> על התדמית של המערכת השלטונית בעיני הציבור</w:t>
      </w:r>
      <w:r>
        <w:rPr>
          <w:rFonts w:ascii="Arial TUR" w:hAnsi="Arial TUR" w:cs="FrankRuehl" w:hint="cs"/>
          <w:spacing w:val="10"/>
          <w:sz w:val="22"/>
          <w:szCs w:val="28"/>
          <w:rtl/>
        </w:rPr>
        <w:t>,</w:t>
      </w:r>
      <w:r w:rsidRPr="007F5756">
        <w:rPr>
          <w:rFonts w:ascii="Arial TUR" w:hAnsi="Arial TUR" w:cs="FrankRuehl" w:hint="cs"/>
          <w:spacing w:val="10"/>
          <w:sz w:val="22"/>
          <w:szCs w:val="28"/>
          <w:rtl/>
        </w:rPr>
        <w:t xml:space="preserve"> על טוהר המידות של המשרתים בה</w:t>
      </w:r>
      <w:r>
        <w:rPr>
          <w:rFonts w:ascii="Arial TUR" w:hAnsi="Arial TUR" w:cs="FrankRuehl" w:hint="cs"/>
          <w:spacing w:val="10"/>
          <w:sz w:val="22"/>
          <w:szCs w:val="28"/>
          <w:rtl/>
        </w:rPr>
        <w:t>,</w:t>
      </w:r>
      <w:r w:rsidRPr="007F5756">
        <w:rPr>
          <w:rFonts w:ascii="Arial TUR" w:hAnsi="Arial TUR" w:cs="FrankRuehl" w:hint="cs"/>
          <w:spacing w:val="10"/>
          <w:sz w:val="22"/>
          <w:szCs w:val="28"/>
          <w:rtl/>
        </w:rPr>
        <w:t xml:space="preserve"> ועל תפקודה התקין. מקום שערכים אלה נ</w:t>
      </w:r>
      <w:r>
        <w:rPr>
          <w:rFonts w:ascii="Arial TUR" w:hAnsi="Arial TUR" w:cs="FrankRuehl" w:hint="cs"/>
          <w:spacing w:val="10"/>
          <w:sz w:val="22"/>
          <w:szCs w:val="28"/>
          <w:rtl/>
        </w:rPr>
        <w:t>פגעו</w:t>
      </w:r>
      <w:r w:rsidRPr="007F5756">
        <w:rPr>
          <w:rFonts w:ascii="Arial TUR" w:hAnsi="Arial TUR" w:cs="FrankRuehl" w:hint="cs"/>
          <w:spacing w:val="10"/>
          <w:sz w:val="22"/>
          <w:szCs w:val="28"/>
          <w:rtl/>
        </w:rPr>
        <w:t xml:space="preserve"> באופן מהותי, מדובר במעשה של הפרת אמונים.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hint="cs"/>
          <w:spacing w:val="10"/>
          <w:sz w:val="22"/>
          <w:szCs w:val="28"/>
          <w:rtl/>
        </w:rPr>
        <w:t>21.</w:t>
      </w:r>
      <w:r w:rsidRPr="007F5756">
        <w:rPr>
          <w:rFonts w:ascii="Arial TUR" w:hAnsi="Arial TUR" w:cs="FrankRuehl"/>
          <w:spacing w:val="10"/>
          <w:sz w:val="22"/>
          <w:szCs w:val="28"/>
          <w:rtl/>
        </w:rPr>
        <w:tab/>
      </w:r>
      <w:r>
        <w:rPr>
          <w:rFonts w:ascii="Arial TUR" w:hAnsi="Arial TUR" w:cs="FrankRuehl" w:hint="cs"/>
          <w:spacing w:val="10"/>
          <w:sz w:val="22"/>
          <w:szCs w:val="28"/>
          <w:rtl/>
        </w:rPr>
        <w:t>בכך</w:t>
      </w:r>
      <w:r w:rsidRPr="007F5756">
        <w:rPr>
          <w:rFonts w:ascii="Arial TUR" w:hAnsi="Arial TUR" w:cs="FrankRuehl" w:hint="cs"/>
          <w:spacing w:val="10"/>
          <w:sz w:val="22"/>
          <w:szCs w:val="28"/>
          <w:rtl/>
        </w:rPr>
        <w:t xml:space="preserve"> יש מענה גם לטענת המבקש כי </w:t>
      </w:r>
      <w:r>
        <w:rPr>
          <w:rFonts w:ascii="Arial TUR" w:hAnsi="Arial TUR" w:cs="FrankRuehl" w:hint="cs"/>
          <w:spacing w:val="10"/>
          <w:sz w:val="22"/>
          <w:szCs w:val="28"/>
          <w:rtl/>
        </w:rPr>
        <w:t>יחסים מוסכמים</w:t>
      </w:r>
      <w:r w:rsidRPr="007F5756">
        <w:rPr>
          <w:rFonts w:ascii="Arial TUR" w:hAnsi="Arial TUR" w:cs="FrankRuehl" w:hint="cs"/>
          <w:spacing w:val="10"/>
          <w:sz w:val="22"/>
          <w:szCs w:val="28"/>
          <w:rtl/>
        </w:rPr>
        <w:t xml:space="preserve"> מסוג </w:t>
      </w:r>
      <w:r>
        <w:rPr>
          <w:rFonts w:ascii="Arial TUR" w:hAnsi="Arial TUR" w:cs="FrankRuehl" w:hint="cs"/>
          <w:spacing w:val="10"/>
          <w:sz w:val="22"/>
          <w:szCs w:val="28"/>
          <w:rtl/>
        </w:rPr>
        <w:t xml:space="preserve">זה אינם מעניינו של הדין </w:t>
      </w:r>
      <w:r w:rsidRPr="00D06A46">
        <w:rPr>
          <w:rFonts w:ascii="Century" w:hAnsi="Century" w:cs="FrankRuehl" w:hint="cs"/>
          <w:spacing w:val="10"/>
          <w:sz w:val="22"/>
          <w:szCs w:val="28"/>
          <w:rtl/>
        </w:rPr>
        <w:t xml:space="preserve">הפלילי. </w:t>
      </w:r>
      <w:r w:rsidRPr="00D653BD">
        <w:rPr>
          <w:rFonts w:ascii="Century" w:hAnsi="Century" w:cs="FrankRuehl" w:hint="cs"/>
          <w:spacing w:val="10"/>
          <w:sz w:val="22"/>
          <w:szCs w:val="28"/>
          <w:rtl/>
        </w:rPr>
        <w:t xml:space="preserve">כפי שציין </w:t>
      </w:r>
      <w:r w:rsidRPr="00D06A46">
        <w:rPr>
          <w:rFonts w:ascii="Century" w:hAnsi="Century" w:cs="FrankRuehl" w:hint="cs"/>
          <w:spacing w:val="10"/>
          <w:sz w:val="22"/>
          <w:szCs w:val="28"/>
          <w:rtl/>
        </w:rPr>
        <w:t xml:space="preserve">בית </w:t>
      </w:r>
      <w:r w:rsidRPr="00D653BD">
        <w:rPr>
          <w:rFonts w:ascii="Century" w:hAnsi="Century" w:cs="FrankRuehl" w:hint="cs"/>
          <w:spacing w:val="10"/>
          <w:sz w:val="22"/>
          <w:szCs w:val="28"/>
          <w:rtl/>
        </w:rPr>
        <w:t>המשפט המחוזי, האיסור</w:t>
      </w:r>
      <w:r w:rsidRPr="00D06A46">
        <w:rPr>
          <w:rFonts w:ascii="Century" w:hAnsi="Century" w:cs="FrankRuehl" w:hint="cs"/>
          <w:spacing w:val="10"/>
          <w:sz w:val="22"/>
          <w:szCs w:val="28"/>
          <w:rtl/>
        </w:rPr>
        <w:t xml:space="preserve"> על </w:t>
      </w:r>
      <w:r w:rsidRPr="00D653BD">
        <w:rPr>
          <w:rFonts w:ascii="Century" w:hAnsi="Century" w:cs="FrankRuehl" w:hint="cs"/>
          <w:spacing w:val="10"/>
          <w:sz w:val="22"/>
          <w:szCs w:val="28"/>
          <w:rtl/>
        </w:rPr>
        <w:t>קיום יחסים</w:t>
      </w:r>
      <w:r w:rsidRPr="00D06A46">
        <w:rPr>
          <w:rFonts w:ascii="Century" w:hAnsi="Century" w:cs="FrankRuehl" w:hint="cs"/>
          <w:spacing w:val="10"/>
          <w:sz w:val="22"/>
          <w:szCs w:val="28"/>
          <w:rtl/>
        </w:rPr>
        <w:t xml:space="preserve"> אינטימיים בין </w:t>
      </w:r>
      <w:r w:rsidRPr="00D653BD">
        <w:rPr>
          <w:rFonts w:ascii="Century" w:hAnsi="Century" w:cs="FrankRuehl" w:hint="cs"/>
          <w:spacing w:val="10"/>
          <w:sz w:val="22"/>
          <w:szCs w:val="28"/>
          <w:rtl/>
        </w:rPr>
        <w:t>בכיר</w:t>
      </w:r>
      <w:r w:rsidRPr="00D06A46">
        <w:rPr>
          <w:rFonts w:ascii="Century" w:hAnsi="Century" w:cs="FrankRuehl" w:hint="cs"/>
          <w:spacing w:val="10"/>
          <w:sz w:val="22"/>
          <w:szCs w:val="28"/>
          <w:rtl/>
        </w:rPr>
        <w:t xml:space="preserve"> לכפיפה</w:t>
      </w:r>
      <w:r w:rsidRPr="00D653BD">
        <w:rPr>
          <w:rFonts w:ascii="Century" w:hAnsi="Century" w:cs="FrankRuehl" w:hint="cs"/>
          <w:spacing w:val="10"/>
          <w:sz w:val="22"/>
          <w:szCs w:val="28"/>
          <w:rtl/>
        </w:rPr>
        <w:t xml:space="preserve"> בארגון היררכי, קשור קשר בל-ינותק לאיסור להיכנס למצב של ניגוד עניינים. זאת, </w:t>
      </w:r>
      <w:r>
        <w:rPr>
          <w:rFonts w:ascii="Century" w:hAnsi="Century" w:cs="FrankRuehl" w:hint="cs"/>
          <w:spacing w:val="10"/>
          <w:sz w:val="22"/>
          <w:szCs w:val="28"/>
          <w:rtl/>
        </w:rPr>
        <w:t>שכן</w:t>
      </w:r>
      <w:r w:rsidRPr="00D653BD">
        <w:rPr>
          <w:rFonts w:ascii="Century" w:hAnsi="Century" w:cs="FrankRuehl" w:hint="cs"/>
          <w:spacing w:val="10"/>
          <w:sz w:val="22"/>
          <w:szCs w:val="28"/>
          <w:rtl/>
        </w:rPr>
        <w:t xml:space="preserve"> </w:t>
      </w:r>
      <w:r w:rsidRPr="00D653BD">
        <w:rPr>
          <w:rFonts w:ascii="Century" w:hAnsi="Century" w:cs="FrankRuehl"/>
          <w:spacing w:val="10"/>
          <w:sz w:val="22"/>
          <w:szCs w:val="28"/>
          <w:rtl/>
        </w:rPr>
        <w:t>"</w:t>
      </w:r>
      <w:r w:rsidRPr="00D06A46">
        <w:rPr>
          <w:rFonts w:ascii="Century" w:hAnsi="Century" w:cs="FrankRuehl"/>
          <w:spacing w:val="10"/>
          <w:sz w:val="22"/>
          <w:szCs w:val="28"/>
          <w:rtl/>
        </w:rPr>
        <w:t xml:space="preserve">עובד הציבור </w:t>
      </w:r>
      <w:r w:rsidRPr="00D653BD">
        <w:rPr>
          <w:rFonts w:ascii="Century" w:hAnsi="Century" w:cs="FrankRuehl"/>
          <w:spacing w:val="10"/>
          <w:sz w:val="22"/>
          <w:szCs w:val="28"/>
          <w:rtl/>
        </w:rPr>
        <w:t>לא רק שאינו יכול להבטיח מראש שדרכו ודרכה</w:t>
      </w:r>
      <w:r w:rsidRPr="00D06A46">
        <w:rPr>
          <w:rFonts w:ascii="Century" w:hAnsi="Century" w:cs="FrankRuehl"/>
          <w:spacing w:val="10"/>
          <w:sz w:val="22"/>
          <w:szCs w:val="28"/>
          <w:rtl/>
        </w:rPr>
        <w:t xml:space="preserve"> של הכפיפה </w:t>
      </w:r>
      <w:r w:rsidRPr="00D653BD">
        <w:rPr>
          <w:rFonts w:ascii="Century" w:hAnsi="Century" w:cs="FrankRuehl"/>
          <w:spacing w:val="10"/>
          <w:sz w:val="22"/>
          <w:szCs w:val="28"/>
          <w:rtl/>
        </w:rPr>
        <w:t>לא יצטלבו בעתיד</w:t>
      </w:r>
      <w:r w:rsidRPr="00D06A46">
        <w:rPr>
          <w:rFonts w:ascii="Century" w:hAnsi="Century" w:cs="FrankRuehl"/>
          <w:spacing w:val="10"/>
          <w:sz w:val="22"/>
          <w:szCs w:val="28"/>
          <w:rtl/>
        </w:rPr>
        <w:t xml:space="preserve">, אלא </w:t>
      </w:r>
      <w:r w:rsidRPr="00D653BD">
        <w:rPr>
          <w:rFonts w:ascii="Century" w:hAnsi="Century" w:cs="FrankRuehl"/>
          <w:spacing w:val="10"/>
          <w:sz w:val="22"/>
          <w:szCs w:val="28"/>
          <w:rtl/>
        </w:rPr>
        <w:t>להיפך. ברי כי מתוקף תפקידו וכוח סמכותו יהא עליו להיות מעורה ולקבל החלטות בענייניה של הכפיפה, ולכן</w:t>
      </w:r>
      <w:r w:rsidRPr="00D653BD">
        <w:rPr>
          <w:rFonts w:ascii="Century" w:hAnsi="Century" w:cs="FrankRuehl" w:hint="cs"/>
          <w:spacing w:val="10"/>
          <w:sz w:val="22"/>
          <w:szCs w:val="28"/>
          <w:rtl/>
        </w:rPr>
        <w:t xml:space="preserve">, במציאות זו, </w:t>
      </w:r>
      <w:r w:rsidRPr="00D653BD">
        <w:rPr>
          <w:rFonts w:ascii="Century" w:hAnsi="Century" w:cs="FrankRuehl"/>
          <w:spacing w:val="10"/>
          <w:sz w:val="22"/>
          <w:szCs w:val="28"/>
          <w:rtl/>
        </w:rPr>
        <w:t xml:space="preserve">קם מאליו חשש לאפליה או להעדפה, או למעורבות של שיקולים זרים באופן שייכלא אותו במצב של </w:t>
      </w:r>
      <w:r w:rsidRPr="00D653BD">
        <w:rPr>
          <w:rFonts w:ascii="Century" w:hAnsi="Century" w:cs="FrankRuehl"/>
          <w:spacing w:val="10"/>
          <w:sz w:val="22"/>
          <w:szCs w:val="28"/>
          <w:rtl/>
        </w:rPr>
        <w:lastRenderedPageBreak/>
        <w:t>ניגוד עניינים."</w:t>
      </w:r>
      <w:r w:rsidRPr="00D653BD">
        <w:rPr>
          <w:rFonts w:ascii="Century" w:hAnsi="Century" w:cs="FrankRuehl" w:hint="cs"/>
          <w:spacing w:val="10"/>
          <w:sz w:val="22"/>
          <w:szCs w:val="28"/>
          <w:rtl/>
        </w:rPr>
        <w:t xml:space="preserve"> (עמ' 51 לפסק דינו של בית המשפט המחוזי). קשרים אינטימיים כאלה</w:t>
      </w:r>
      <w:r>
        <w:rPr>
          <w:rFonts w:ascii="Century" w:hAnsi="Century" w:cs="FrankRuehl" w:hint="cs"/>
          <w:spacing w:val="10"/>
          <w:sz w:val="22"/>
          <w:szCs w:val="28"/>
          <w:rtl/>
        </w:rPr>
        <w:t>,</w:t>
      </w:r>
      <w:r w:rsidRPr="00D653BD">
        <w:rPr>
          <w:rFonts w:ascii="Century" w:hAnsi="Century" w:cs="FrankRuehl" w:hint="cs"/>
          <w:spacing w:val="10"/>
          <w:sz w:val="22"/>
          <w:szCs w:val="28"/>
          <w:rtl/>
        </w:rPr>
        <w:t xml:space="preserve"> גם אם מוסכמים</w:t>
      </w:r>
      <w:r>
        <w:rPr>
          <w:rFonts w:ascii="Century" w:hAnsi="Century" w:cs="FrankRuehl" w:hint="cs"/>
          <w:spacing w:val="10"/>
          <w:sz w:val="22"/>
          <w:szCs w:val="28"/>
          <w:rtl/>
        </w:rPr>
        <w:t xml:space="preserve">, מובילים </w:t>
      </w:r>
      <w:r w:rsidRPr="00D653BD">
        <w:rPr>
          <w:rFonts w:ascii="Century" w:hAnsi="Century" w:cs="FrankRuehl" w:hint="cs"/>
          <w:spacing w:val="10"/>
          <w:sz w:val="22"/>
          <w:szCs w:val="28"/>
          <w:rtl/>
        </w:rPr>
        <w:t>את עובד הציבור הבכיר למצב</w:t>
      </w:r>
      <w:r w:rsidRPr="00D653BD">
        <w:rPr>
          <w:rFonts w:ascii="Arial TUR" w:hAnsi="Arial TUR" w:cs="FrankRuehl" w:hint="cs"/>
          <w:spacing w:val="10"/>
          <w:sz w:val="22"/>
          <w:szCs w:val="28"/>
          <w:rtl/>
        </w:rPr>
        <w:t xml:space="preserve"> </w:t>
      </w:r>
      <w:r>
        <w:rPr>
          <w:rFonts w:ascii="Arial TUR" w:hAnsi="Arial TUR" w:cs="FrankRuehl" w:hint="cs"/>
          <w:spacing w:val="10"/>
          <w:sz w:val="22"/>
          <w:szCs w:val="28"/>
          <w:rtl/>
        </w:rPr>
        <w:t xml:space="preserve">של התנגשות בלתי נמנעת בין המישור האישי והמישור המקצועי. התנגשות זו מעוררת חשש מפני פעולה המונעת משיקולים זרים, והיא גם עלולה להעכיר את האווירה במקום העבודה ובכך לפגוע בתפקוד התקין. כן יש בכך כדי להזין תדמית מושחתת של השירות הציבורי, וכדי להוות קרקע לניצול לרעה של כוח וסמכות שלא למטרה שלשמם הופקדו בידי עובד הציבור.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hint="cs"/>
          <w:spacing w:val="10"/>
          <w:sz w:val="22"/>
          <w:szCs w:val="28"/>
          <w:rtl/>
        </w:rPr>
        <w:t xml:space="preserve">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hint="cs"/>
          <w:spacing w:val="10"/>
          <w:sz w:val="22"/>
          <w:szCs w:val="28"/>
          <w:rtl/>
        </w:rPr>
        <w:t>22.</w:t>
      </w:r>
      <w:r>
        <w:rPr>
          <w:rFonts w:ascii="Arial TUR" w:hAnsi="Arial TUR" w:cs="FrankRuehl"/>
          <w:spacing w:val="10"/>
          <w:sz w:val="22"/>
          <w:szCs w:val="28"/>
          <w:rtl/>
        </w:rPr>
        <w:tab/>
      </w:r>
      <w:r w:rsidRPr="007F5756">
        <w:rPr>
          <w:rFonts w:ascii="Arial TUR" w:hAnsi="Arial TUR" w:cs="FrankRuehl" w:hint="cs"/>
          <w:spacing w:val="10"/>
          <w:sz w:val="22"/>
          <w:szCs w:val="28"/>
          <w:rtl/>
        </w:rPr>
        <w:t>המקרה שלפנינו מדגים זאת. בענייננו, לא מדובר במערכת יחסים מוסכמת אחת. עסקינן בדפוס פעולה שיטתי, שכלל יצירה של קשרים אינטימיים וניסיון ליצור קשרים כאלה עם מספר רב של כפיפות, שוב ושוב במשך שנים. זאת נעשה כאשר המב</w:t>
      </w:r>
      <w:r>
        <w:rPr>
          <w:rFonts w:ascii="Arial TUR" w:hAnsi="Arial TUR" w:cs="FrankRuehl" w:hint="cs"/>
          <w:spacing w:val="10"/>
          <w:sz w:val="22"/>
          <w:szCs w:val="28"/>
          <w:rtl/>
        </w:rPr>
        <w:t>קש מודע לקיומו של איסור בנושא ושומר את הדבר בסוד, ובמסגרת פעולתו בארגון היררכי נוקשה, האמון על אכיפת החוק במדינה ואמור לשמש דוגמה לאזרחים</w:t>
      </w:r>
      <w:r w:rsidRPr="007F5756">
        <w:rPr>
          <w:rFonts w:ascii="Arial TUR" w:hAnsi="Arial TUR" w:cs="FrankRuehl" w:hint="cs"/>
          <w:spacing w:val="10"/>
          <w:sz w:val="22"/>
          <w:szCs w:val="28"/>
          <w:rtl/>
        </w:rPr>
        <w:t xml:space="preserve">. </w:t>
      </w:r>
      <w:r>
        <w:rPr>
          <w:rFonts w:ascii="Arial TUR" w:hAnsi="Arial TUR" w:cs="FrankRuehl" w:hint="cs"/>
          <w:spacing w:val="10"/>
          <w:sz w:val="22"/>
          <w:szCs w:val="28"/>
          <w:rtl/>
        </w:rPr>
        <w:t xml:space="preserve">יוער כי </w:t>
      </w:r>
      <w:r w:rsidRPr="007F5756">
        <w:rPr>
          <w:rFonts w:ascii="Arial TUR" w:hAnsi="Arial TUR" w:cs="FrankRuehl" w:hint="cs"/>
          <w:spacing w:val="10"/>
          <w:sz w:val="22"/>
          <w:szCs w:val="28"/>
          <w:rtl/>
        </w:rPr>
        <w:t>מב</w:t>
      </w:r>
      <w:r>
        <w:rPr>
          <w:rFonts w:ascii="Arial TUR" w:hAnsi="Arial TUR" w:cs="FrankRuehl" w:hint="cs"/>
          <w:spacing w:val="10"/>
          <w:sz w:val="22"/>
          <w:szCs w:val="28"/>
          <w:rtl/>
        </w:rPr>
        <w:t>חינת פערי הכוחות בין הצדדים לקשר</w:t>
      </w:r>
      <w:r w:rsidRPr="007F5756">
        <w:rPr>
          <w:rFonts w:ascii="Arial TUR" w:hAnsi="Arial TUR" w:cs="FrankRuehl" w:hint="cs"/>
          <w:spacing w:val="10"/>
          <w:sz w:val="22"/>
          <w:szCs w:val="28"/>
          <w:rtl/>
        </w:rPr>
        <w:t>, עסקינן בחוסר שוויו</w:t>
      </w:r>
      <w:r>
        <w:rPr>
          <w:rFonts w:ascii="Arial TUR" w:hAnsi="Arial TUR" w:cs="FrankRuehl" w:hint="cs"/>
          <w:spacing w:val="10"/>
          <w:sz w:val="22"/>
          <w:szCs w:val="28"/>
          <w:rtl/>
        </w:rPr>
        <w:t>ן תהומי:</w:t>
      </w:r>
      <w:r w:rsidRPr="007F5756">
        <w:rPr>
          <w:rFonts w:ascii="Arial TUR" w:hAnsi="Arial TUR" w:cs="FrankRuehl" w:hint="cs"/>
          <w:spacing w:val="10"/>
          <w:sz w:val="22"/>
          <w:szCs w:val="28"/>
          <w:rtl/>
        </w:rPr>
        <w:t xml:space="preserve"> מצד אחד עומד המבקש, שהינו בין המפקדים הבכירים במשטרה, בדרגת תת-ניצב או ניצב. מן העבר השני ישנן שוטרות צעירות ממנו בעשרות שנים, בתפקידים זוטרים יחסית. יוזכר גם כי ההיכרות של חלק מהשוטרות עם המבקש צמחה על רקע טי</w:t>
      </w:r>
      <w:r>
        <w:rPr>
          <w:rFonts w:ascii="Arial TUR" w:hAnsi="Arial TUR" w:cs="FrankRuehl" w:hint="cs"/>
          <w:spacing w:val="10"/>
          <w:sz w:val="22"/>
          <w:szCs w:val="28"/>
          <w:rtl/>
        </w:rPr>
        <w:t>פולו של האחרון בבקשותיהן, שהיו משמעותיות עבורן ו</w:t>
      </w:r>
      <w:r w:rsidRPr="007F5756">
        <w:rPr>
          <w:rFonts w:ascii="Arial TUR" w:hAnsi="Arial TUR" w:cs="FrankRuehl" w:hint="cs"/>
          <w:spacing w:val="10"/>
          <w:sz w:val="22"/>
          <w:szCs w:val="28"/>
          <w:rtl/>
        </w:rPr>
        <w:t xml:space="preserve">הוגשו </w:t>
      </w:r>
      <w:r>
        <w:rPr>
          <w:rFonts w:ascii="Arial TUR" w:hAnsi="Arial TUR" w:cs="FrankRuehl" w:hint="cs"/>
          <w:spacing w:val="10"/>
          <w:sz w:val="22"/>
          <w:szCs w:val="28"/>
          <w:rtl/>
        </w:rPr>
        <w:t>בעקבות</w:t>
      </w:r>
      <w:r w:rsidRPr="007F5756">
        <w:rPr>
          <w:rFonts w:ascii="Arial TUR" w:hAnsi="Arial TUR" w:cs="FrankRuehl" w:hint="cs"/>
          <w:spacing w:val="10"/>
          <w:sz w:val="22"/>
          <w:szCs w:val="28"/>
          <w:rtl/>
        </w:rPr>
        <w:t xml:space="preserve"> מצוקה שנקלעו אליה. נקודה זו מחדדת את החשש </w:t>
      </w:r>
      <w:r>
        <w:rPr>
          <w:rFonts w:ascii="Arial TUR" w:hAnsi="Arial TUR" w:cs="FrankRuehl" w:hint="cs"/>
          <w:spacing w:val="10"/>
          <w:sz w:val="22"/>
          <w:szCs w:val="28"/>
          <w:rtl/>
        </w:rPr>
        <w:t xml:space="preserve">הנוגע </w:t>
      </w:r>
      <w:r w:rsidRPr="007F5756">
        <w:rPr>
          <w:rFonts w:ascii="Arial TUR" w:hAnsi="Arial TUR" w:cs="FrankRuehl" w:hint="cs"/>
          <w:spacing w:val="10"/>
          <w:sz w:val="22"/>
          <w:szCs w:val="28"/>
          <w:rtl/>
        </w:rPr>
        <w:t>לניצול</w:t>
      </w:r>
      <w:r>
        <w:rPr>
          <w:rFonts w:ascii="Arial TUR" w:hAnsi="Arial TUR" w:cs="FrankRuehl" w:hint="cs"/>
          <w:spacing w:val="10"/>
          <w:sz w:val="22"/>
          <w:szCs w:val="28"/>
          <w:rtl/>
        </w:rPr>
        <w:t xml:space="preserve"> לרעה של סמכות מצד המבקש,</w:t>
      </w:r>
      <w:r w:rsidRPr="00AE4506">
        <w:rPr>
          <w:rFonts w:ascii="Arial TUR" w:hAnsi="Arial TUR" w:cs="FrankRuehl" w:hint="cs"/>
          <w:spacing w:val="10"/>
          <w:sz w:val="22"/>
          <w:szCs w:val="28"/>
          <w:rtl/>
        </w:rPr>
        <w:t xml:space="preserve"> ולעירוב בין המישור האישי ו</w:t>
      </w:r>
      <w:r>
        <w:rPr>
          <w:rFonts w:ascii="Arial TUR" w:hAnsi="Arial TUR" w:cs="FrankRuehl" w:hint="cs"/>
          <w:spacing w:val="10"/>
          <w:sz w:val="22"/>
          <w:szCs w:val="28"/>
          <w:rtl/>
        </w:rPr>
        <w:t>המקצועי</w:t>
      </w:r>
      <w:r w:rsidRPr="007F5756">
        <w:rPr>
          <w:rFonts w:ascii="Arial TUR" w:hAnsi="Arial TUR" w:cs="FrankRuehl" w:hint="cs"/>
          <w:spacing w:val="10"/>
          <w:sz w:val="22"/>
          <w:szCs w:val="28"/>
          <w:rtl/>
        </w:rPr>
        <w:t>.</w:t>
      </w:r>
      <w:r>
        <w:rPr>
          <w:rFonts w:ascii="Arial TUR" w:hAnsi="Arial TUR" w:cs="FrankRuehl" w:hint="cs"/>
          <w:spacing w:val="10"/>
          <w:sz w:val="22"/>
          <w:szCs w:val="28"/>
          <w:rtl/>
        </w:rPr>
        <w:t xml:space="preserve">  </w:t>
      </w:r>
      <w:r w:rsidRPr="00AE4506">
        <w:rPr>
          <w:rFonts w:ascii="Arial TUR" w:hAnsi="Arial TUR" w:cs="FrankRuehl" w:hint="cs"/>
          <w:spacing w:val="10"/>
          <w:sz w:val="22"/>
          <w:szCs w:val="28"/>
          <w:rtl/>
        </w:rPr>
        <w:t xml:space="preserve">בקיום הקשרים הללו המבקש הכניס אפוא את עצמו למצב של ניגוד </w:t>
      </w:r>
      <w:r>
        <w:rPr>
          <w:rFonts w:ascii="Arial TUR" w:hAnsi="Arial TUR" w:cs="FrankRuehl" w:hint="cs"/>
          <w:spacing w:val="10"/>
          <w:sz w:val="22"/>
          <w:szCs w:val="28"/>
          <w:rtl/>
        </w:rPr>
        <w:t xml:space="preserve">עניינים, כאשר במקרנו דפוס פעולה זה אינו עומד לבדו. בשלב השני, המבקש אכן טיפל בבקשות של השוטרות עמן קיים קשר מיני, חרף ניגוד העניינים שהוא היה מצוי בו. </w:t>
      </w:r>
      <w:r w:rsidRPr="007F5756">
        <w:rPr>
          <w:rFonts w:ascii="Arial TUR" w:hAnsi="Arial TUR" w:cs="FrankRuehl" w:hint="cs"/>
          <w:spacing w:val="10"/>
          <w:sz w:val="22"/>
          <w:szCs w:val="28"/>
          <w:rtl/>
        </w:rPr>
        <w:t xml:space="preserve">לכך נפנה כעת.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Miriam" w:hAnsi="Miriam" w:cs="Miriam"/>
          <w:spacing w:val="10"/>
          <w:rtl/>
        </w:rPr>
      </w:pPr>
      <w:r w:rsidRPr="007F5756">
        <w:rPr>
          <w:rFonts w:ascii="Miriam" w:hAnsi="Miriam" w:cs="Miriam"/>
          <w:spacing w:val="10"/>
          <w:rtl/>
        </w:rPr>
        <w:tab/>
      </w:r>
      <w:r>
        <w:rPr>
          <w:rFonts w:ascii="Miriam" w:hAnsi="Miriam" w:cs="Miriam" w:hint="cs"/>
          <w:spacing w:val="10"/>
          <w:rtl/>
        </w:rPr>
        <w:t xml:space="preserve">השלב השני: </w:t>
      </w:r>
      <w:r w:rsidRPr="007F5756">
        <w:rPr>
          <w:rFonts w:ascii="Miriam" w:hAnsi="Miriam" w:cs="Miriam" w:hint="cs"/>
          <w:spacing w:val="10"/>
          <w:rtl/>
        </w:rPr>
        <w:t xml:space="preserve">טיפול בבקשותיהן </w:t>
      </w:r>
      <w:r>
        <w:rPr>
          <w:rFonts w:ascii="Miriam" w:hAnsi="Miriam" w:cs="Miriam" w:hint="cs"/>
          <w:spacing w:val="10"/>
          <w:rtl/>
        </w:rPr>
        <w:t>של השוטרות חרף ניגוד ה</w:t>
      </w:r>
      <w:r w:rsidRPr="007F5756">
        <w:rPr>
          <w:rFonts w:ascii="Miriam" w:hAnsi="Miriam" w:cs="Miriam" w:hint="cs"/>
          <w:spacing w:val="10"/>
          <w:rtl/>
        </w:rPr>
        <w:t>עניינים</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Century" w:hAnsi="Century" w:cs="FrankRuehl" w:hint="cs"/>
          <w:spacing w:val="10"/>
          <w:szCs w:val="28"/>
          <w:rtl/>
        </w:rPr>
        <w:t>23.</w:t>
      </w:r>
      <w:r w:rsidRPr="007F5756">
        <w:rPr>
          <w:rFonts w:ascii="Century" w:hAnsi="Century" w:cs="FrankRuehl"/>
          <w:spacing w:val="10"/>
          <w:szCs w:val="28"/>
          <w:rtl/>
        </w:rPr>
        <w:tab/>
      </w:r>
      <w:r w:rsidRPr="007F5756">
        <w:rPr>
          <w:rFonts w:ascii="Arial TUR" w:hAnsi="Arial TUR" w:cs="FrankRuehl" w:hint="cs"/>
          <w:spacing w:val="10"/>
          <w:sz w:val="22"/>
          <w:szCs w:val="28"/>
          <w:rtl/>
        </w:rPr>
        <w:t xml:space="preserve">נזכיר כי בית משפט השלום מצא כי כל פעולה שביצע המבקש בניגוד עניינים אינה חוצה </w:t>
      </w:r>
      <w:r>
        <w:rPr>
          <w:rFonts w:ascii="Arial TUR" w:hAnsi="Arial TUR" w:cs="FrankRuehl" w:hint="cs"/>
          <w:spacing w:val="10"/>
          <w:sz w:val="22"/>
          <w:szCs w:val="28"/>
          <w:rtl/>
        </w:rPr>
        <w:t xml:space="preserve">לבדה </w:t>
      </w:r>
      <w:r w:rsidRPr="007F5756">
        <w:rPr>
          <w:rFonts w:ascii="Arial TUR" w:hAnsi="Arial TUR" w:cs="FrankRuehl" w:hint="cs"/>
          <w:spacing w:val="10"/>
          <w:sz w:val="22"/>
          <w:szCs w:val="28"/>
          <w:rtl/>
        </w:rPr>
        <w:t xml:space="preserve">את הרף הפלילי. משהגיע </w:t>
      </w:r>
      <w:r>
        <w:rPr>
          <w:rFonts w:ascii="Arial TUR" w:hAnsi="Arial TUR" w:cs="FrankRuehl" w:hint="cs"/>
          <w:spacing w:val="10"/>
          <w:sz w:val="22"/>
          <w:szCs w:val="28"/>
          <w:rtl/>
        </w:rPr>
        <w:t xml:space="preserve">בית משפט השלום </w:t>
      </w:r>
      <w:r w:rsidRPr="007F5756">
        <w:rPr>
          <w:rFonts w:ascii="Arial TUR" w:hAnsi="Arial TUR" w:cs="FrankRuehl" w:hint="cs"/>
          <w:spacing w:val="10"/>
          <w:sz w:val="22"/>
          <w:szCs w:val="28"/>
          <w:rtl/>
        </w:rPr>
        <w:t>למסקנה זו</w:t>
      </w:r>
      <w:r>
        <w:rPr>
          <w:rFonts w:ascii="Arial TUR" w:hAnsi="Arial TUR" w:cs="FrankRuehl" w:hint="cs"/>
          <w:spacing w:val="10"/>
          <w:sz w:val="22"/>
          <w:szCs w:val="28"/>
          <w:rtl/>
        </w:rPr>
        <w:t>,</w:t>
      </w:r>
      <w:r w:rsidRPr="007F5756">
        <w:rPr>
          <w:rFonts w:ascii="Arial TUR" w:hAnsi="Arial TUR" w:cs="FrankRuehl" w:hint="cs"/>
          <w:spacing w:val="10"/>
          <w:sz w:val="22"/>
          <w:szCs w:val="28"/>
          <w:rtl/>
        </w:rPr>
        <w:t xml:space="preserve"> ולאור דחייתו את השימוש בתזת הצבירה, זיכה את המבקש מן האישום בהפרת אמונים (אם כי הרש</w:t>
      </w:r>
      <w:r>
        <w:rPr>
          <w:rFonts w:ascii="Arial TUR" w:hAnsi="Arial TUR" w:cs="FrankRuehl" w:hint="cs"/>
          <w:spacing w:val="10"/>
          <w:sz w:val="22"/>
          <w:szCs w:val="28"/>
          <w:rtl/>
        </w:rPr>
        <w:t>י</w:t>
      </w:r>
      <w:r w:rsidRPr="007F5756">
        <w:rPr>
          <w:rFonts w:ascii="Arial TUR" w:hAnsi="Arial TUR" w:cs="FrankRuehl" w:hint="cs"/>
          <w:spacing w:val="10"/>
          <w:sz w:val="22"/>
          <w:szCs w:val="28"/>
          <w:rtl/>
        </w:rPr>
        <w:t>ע</w:t>
      </w:r>
      <w:r>
        <w:rPr>
          <w:rFonts w:ascii="Arial TUR" w:hAnsi="Arial TUR" w:cs="FrankRuehl" w:hint="cs"/>
          <w:spacing w:val="10"/>
          <w:sz w:val="22"/>
          <w:szCs w:val="28"/>
          <w:rtl/>
        </w:rPr>
        <w:t>ו</w:t>
      </w:r>
      <w:r w:rsidRPr="007F5756">
        <w:rPr>
          <w:rFonts w:ascii="Arial TUR" w:hAnsi="Arial TUR" w:cs="FrankRuehl" w:hint="cs"/>
          <w:spacing w:val="10"/>
          <w:sz w:val="22"/>
          <w:szCs w:val="28"/>
          <w:rtl/>
        </w:rPr>
        <w:t xml:space="preserve"> בעבירה של מעשה מגונה). בית המשפט המחוזי לא קבע מסמרות ביחס לשאלה האם כל פעולה בניגוד עניינים חוצה לבדה את הרף הפלילי, שכן מצא להרשיע את המבקש בהפרת אמונים בגין מכלול מעשיו, על-פי תזת הצבירה. עם זאת, יוער כי כחלק ממסקנתו זו, ביקר בית המשפט המחוזי את האופן שבו </w:t>
      </w:r>
      <w:r>
        <w:rPr>
          <w:rFonts w:ascii="Arial TUR" w:hAnsi="Arial TUR" w:cs="FrankRuehl" w:hint="cs"/>
          <w:spacing w:val="10"/>
          <w:sz w:val="22"/>
          <w:szCs w:val="28"/>
          <w:rtl/>
        </w:rPr>
        <w:t xml:space="preserve">בחן </w:t>
      </w:r>
      <w:r w:rsidRPr="007F5756">
        <w:rPr>
          <w:rFonts w:ascii="Arial TUR" w:hAnsi="Arial TUR" w:cs="FrankRuehl" w:hint="cs"/>
          <w:spacing w:val="10"/>
          <w:sz w:val="22"/>
          <w:szCs w:val="28"/>
          <w:rtl/>
        </w:rPr>
        <w:t>בית משפט השלום את הפעולות</w:t>
      </w:r>
      <w:r>
        <w:rPr>
          <w:rFonts w:ascii="Arial TUR" w:hAnsi="Arial TUR" w:cs="FrankRuehl" w:hint="cs"/>
          <w:spacing w:val="10"/>
          <w:sz w:val="22"/>
          <w:szCs w:val="28"/>
          <w:rtl/>
        </w:rPr>
        <w:t xml:space="preserve"> שביצע המבקש</w:t>
      </w:r>
      <w:r w:rsidRPr="007F5756">
        <w:rPr>
          <w:rFonts w:ascii="Arial TUR" w:hAnsi="Arial TUR" w:cs="FrankRuehl" w:hint="cs"/>
          <w:spacing w:val="10"/>
          <w:sz w:val="22"/>
          <w:szCs w:val="28"/>
          <w:rtl/>
        </w:rPr>
        <w:t xml:space="preserve"> בניגוד עניינים, לפי המבחנים שנקבעו בפסיקה (ראו </w:t>
      </w:r>
      <w:r>
        <w:rPr>
          <w:rFonts w:ascii="Arial TUR" w:hAnsi="Arial TUR" w:cs="FrankRuehl" w:hint="cs"/>
          <w:spacing w:val="10"/>
          <w:sz w:val="22"/>
          <w:szCs w:val="28"/>
          <w:rtl/>
        </w:rPr>
        <w:t>ב</w:t>
      </w:r>
      <w:r w:rsidRPr="007F5756">
        <w:rPr>
          <w:rFonts w:ascii="Arial TUR" w:hAnsi="Arial TUR" w:cs="FrankRuehl" w:hint="cs"/>
          <w:spacing w:val="10"/>
          <w:sz w:val="22"/>
          <w:szCs w:val="28"/>
          <w:rtl/>
        </w:rPr>
        <w:t xml:space="preserve">עמ' 70-53 לפסק דינו של בית המשפט המחוזי). אני מצטרף בעיקרה לביקורת זו, כפי שעולה מדבריי להלן.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lastRenderedPageBreak/>
        <w:tab/>
      </w:r>
      <w:r w:rsidRPr="007F5756">
        <w:rPr>
          <w:rFonts w:ascii="Century" w:hAnsi="Century" w:cs="FrankRuehl" w:hint="cs"/>
          <w:spacing w:val="10"/>
          <w:szCs w:val="28"/>
          <w:rtl/>
        </w:rPr>
        <w:t>כ</w:t>
      </w:r>
      <w:r>
        <w:rPr>
          <w:rFonts w:ascii="Century" w:hAnsi="Century" w:cs="FrankRuehl" w:hint="cs"/>
          <w:spacing w:val="10"/>
          <w:szCs w:val="28"/>
          <w:rtl/>
        </w:rPr>
        <w:t>אמור</w:t>
      </w:r>
      <w:r w:rsidRPr="007F5756">
        <w:rPr>
          <w:rFonts w:ascii="Century" w:hAnsi="Century" w:cs="FrankRuehl" w:hint="cs"/>
          <w:spacing w:val="10"/>
          <w:szCs w:val="28"/>
          <w:rtl/>
        </w:rPr>
        <w:t xml:space="preserve"> בפתח חוות דעת</w:t>
      </w:r>
      <w:r>
        <w:rPr>
          <w:rFonts w:ascii="Century" w:hAnsi="Century" w:cs="FrankRuehl" w:hint="cs"/>
          <w:spacing w:val="10"/>
          <w:szCs w:val="28"/>
          <w:rtl/>
        </w:rPr>
        <w:t>י</w:t>
      </w:r>
      <w:r w:rsidRPr="007F5756">
        <w:rPr>
          <w:rFonts w:ascii="Century" w:hAnsi="Century" w:cs="FrankRuehl" w:hint="cs"/>
          <w:spacing w:val="10"/>
          <w:szCs w:val="28"/>
          <w:rtl/>
        </w:rPr>
        <w:t xml:space="preserve">, בעניין </w:t>
      </w:r>
      <w:r w:rsidRPr="007F5756">
        <w:rPr>
          <w:rFonts w:ascii="Miriam" w:hAnsi="Miriam" w:cs="Miriam"/>
          <w:b/>
          <w:spacing w:val="10"/>
          <w:sz w:val="18"/>
          <w:rtl/>
        </w:rPr>
        <w:t>שבס</w:t>
      </w:r>
      <w:r w:rsidRPr="007F5756">
        <w:rPr>
          <w:rFonts w:ascii="Century" w:hAnsi="Century" w:cs="FrankRuehl" w:hint="cs"/>
          <w:spacing w:val="10"/>
          <w:szCs w:val="28"/>
          <w:rtl/>
        </w:rPr>
        <w:t xml:space="preserve"> נקבע כי התנהגות </w:t>
      </w:r>
      <w:r>
        <w:rPr>
          <w:rFonts w:ascii="Century" w:hAnsi="Century" w:cs="FrankRuehl" w:hint="cs"/>
          <w:spacing w:val="10"/>
          <w:szCs w:val="28"/>
          <w:rtl/>
        </w:rPr>
        <w:t xml:space="preserve">של עובד ציבור </w:t>
      </w:r>
      <w:r w:rsidRPr="007F5756">
        <w:rPr>
          <w:rFonts w:ascii="Century" w:hAnsi="Century" w:cs="FrankRuehl" w:hint="cs"/>
          <w:spacing w:val="10"/>
          <w:szCs w:val="28"/>
          <w:rtl/>
        </w:rPr>
        <w:t>ב</w:t>
      </w:r>
      <w:r>
        <w:rPr>
          <w:rFonts w:ascii="Century" w:hAnsi="Century" w:cs="FrankRuehl" w:hint="cs"/>
          <w:spacing w:val="10"/>
          <w:szCs w:val="28"/>
          <w:rtl/>
        </w:rPr>
        <w:t xml:space="preserve">מצב של </w:t>
      </w:r>
      <w:r w:rsidRPr="007F5756">
        <w:rPr>
          <w:rFonts w:ascii="Century" w:hAnsi="Century" w:cs="FrankRuehl" w:hint="cs"/>
          <w:spacing w:val="10"/>
          <w:szCs w:val="28"/>
          <w:rtl/>
        </w:rPr>
        <w:t>ניגוד עניינים</w:t>
      </w:r>
      <w:r>
        <w:rPr>
          <w:rFonts w:ascii="Century" w:hAnsi="Century" w:cs="FrankRuehl" w:hint="cs"/>
          <w:spacing w:val="10"/>
          <w:szCs w:val="28"/>
          <w:rtl/>
        </w:rPr>
        <w:t>,</w:t>
      </w:r>
      <w:r w:rsidRPr="007F5756">
        <w:rPr>
          <w:rFonts w:ascii="Century" w:hAnsi="Century" w:cs="FrankRuehl" w:hint="cs"/>
          <w:spacing w:val="10"/>
          <w:szCs w:val="28"/>
          <w:rtl/>
        </w:rPr>
        <w:t xml:space="preserve"> תחצה את הרף הפלילי בהתקיים פן מחמיר נוסף המתבטא בפגיעה מהותית באחד או יותר מן הערכים המוגנים על ידי העבירה. בהקשר זה, התווה הנשיא </w:t>
      </w:r>
      <w:r w:rsidRPr="001D3277">
        <w:rPr>
          <w:rFonts w:ascii="Century" w:hAnsi="Century" w:cs="Miriam" w:hint="cs"/>
          <w:b/>
          <w:sz w:val="22"/>
          <w:rtl/>
        </w:rPr>
        <w:t>א' ברק</w:t>
      </w:r>
      <w:r w:rsidRPr="001D3277">
        <w:rPr>
          <w:rFonts w:ascii="Century" w:hAnsi="Century" w:cs="FrankRuehl" w:hint="cs"/>
          <w:spacing w:val="10"/>
          <w:szCs w:val="28"/>
          <w:rtl/>
        </w:rPr>
        <w:t xml:space="preserve"> </w:t>
      </w:r>
      <w:r w:rsidRPr="007F5756">
        <w:rPr>
          <w:rFonts w:ascii="Century" w:hAnsi="Century" w:cs="FrankRuehl" w:hint="cs"/>
          <w:spacing w:val="10"/>
          <w:szCs w:val="28"/>
          <w:rtl/>
        </w:rPr>
        <w:t xml:space="preserve">שלושה מבחני עזר: המבחן הראשון, </w:t>
      </w:r>
      <w:r>
        <w:rPr>
          <w:rFonts w:ascii="Century" w:hAnsi="Century" w:cs="FrankRuehl" w:hint="cs"/>
          <w:spacing w:val="10"/>
          <w:szCs w:val="28"/>
          <w:rtl/>
        </w:rPr>
        <w:t xml:space="preserve">הוא </w:t>
      </w:r>
      <w:r w:rsidRPr="007F5756">
        <w:rPr>
          <w:rFonts w:ascii="Century" w:hAnsi="Century" w:cs="FrankRuehl" w:hint="cs"/>
          <w:spacing w:val="10"/>
          <w:szCs w:val="28"/>
          <w:rtl/>
        </w:rPr>
        <w:t xml:space="preserve">עוצמת ניגוד העניינים. המבחן השני, </w:t>
      </w:r>
      <w:r>
        <w:rPr>
          <w:rFonts w:ascii="Century" w:hAnsi="Century" w:cs="FrankRuehl" w:hint="cs"/>
          <w:spacing w:val="10"/>
          <w:szCs w:val="28"/>
          <w:rtl/>
        </w:rPr>
        <w:t xml:space="preserve">הוא </w:t>
      </w:r>
      <w:r w:rsidRPr="007F5756">
        <w:rPr>
          <w:rFonts w:ascii="Century" w:hAnsi="Century" w:cs="FrankRuehl" w:hint="cs"/>
          <w:spacing w:val="10"/>
          <w:szCs w:val="28"/>
          <w:rtl/>
        </w:rPr>
        <w:t xml:space="preserve">קיומה ומידתה של סטייה מן השורה. המבחן השלישי, בוחן את רום מעמדו ואת השפעתו של עובד הציבור בארגון. בעניין </w:t>
      </w:r>
      <w:r w:rsidRPr="007F5756">
        <w:rPr>
          <w:rFonts w:ascii="Miriam" w:hAnsi="Miriam" w:cs="Miriam" w:hint="cs"/>
          <w:spacing w:val="10"/>
          <w:sz w:val="18"/>
          <w:rtl/>
        </w:rPr>
        <w:t>חסן</w:t>
      </w:r>
      <w:r w:rsidRPr="007F5756">
        <w:rPr>
          <w:rFonts w:ascii="Century" w:hAnsi="Century" w:cs="FrankRuehl" w:hint="cs"/>
          <w:spacing w:val="10"/>
          <w:szCs w:val="28"/>
          <w:rtl/>
        </w:rPr>
        <w:t xml:space="preserve"> ציינתי כי שלושת המבחנים מתמקדים בעובד הציבור </w:t>
      </w:r>
      <w:r w:rsidRPr="007F5756">
        <w:rPr>
          <w:rFonts w:ascii="Century" w:hAnsi="Century" w:cs="FrankRuehl"/>
          <w:spacing w:val="10"/>
          <w:szCs w:val="28"/>
          <w:rtl/>
        </w:rPr>
        <w:t>–</w:t>
      </w:r>
      <w:r w:rsidRPr="007F5756">
        <w:rPr>
          <w:rFonts w:ascii="Century" w:hAnsi="Century" w:cs="FrankRuehl" w:hint="cs"/>
          <w:spacing w:val="10"/>
          <w:szCs w:val="28"/>
          <w:rtl/>
        </w:rPr>
        <w:t xml:space="preserve"> הראשון, באינטרס שלו; השני, בהתנהגותו; והשלישי, במעמדו. </w:t>
      </w:r>
      <w:r w:rsidRPr="007F5756">
        <w:rPr>
          <w:rFonts w:ascii="Arial TUR" w:hAnsi="Arial TUR" w:cs="FrankRuehl" w:hint="cs"/>
          <w:spacing w:val="10"/>
          <w:sz w:val="22"/>
          <w:szCs w:val="28"/>
          <w:rtl/>
        </w:rPr>
        <w:t xml:space="preserve">נתייחס ליישום של מבחנים אלה ביחס לטיפול של המבקש בבקשותיהן של השוטרות בענייננו.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hint="cs"/>
          <w:spacing w:val="10"/>
          <w:sz w:val="22"/>
          <w:szCs w:val="28"/>
          <w:rtl/>
        </w:rPr>
        <w:t>24.</w:t>
      </w:r>
      <w:r w:rsidRPr="007F5756">
        <w:rPr>
          <w:rFonts w:ascii="Arial TUR" w:hAnsi="Arial TUR" w:cs="FrankRuehl"/>
          <w:spacing w:val="10"/>
          <w:sz w:val="22"/>
          <w:szCs w:val="28"/>
          <w:rtl/>
        </w:rPr>
        <w:tab/>
      </w:r>
      <w:r w:rsidRPr="007F5756">
        <w:rPr>
          <w:rFonts w:ascii="Miriam" w:hAnsi="Miriam" w:cs="Miriam"/>
          <w:spacing w:val="10"/>
          <w:rtl/>
        </w:rPr>
        <w:t>באשר למבחן העזר הראשון</w:t>
      </w:r>
      <w:r w:rsidRPr="007F5756">
        <w:rPr>
          <w:rFonts w:ascii="Arial TUR" w:hAnsi="Arial TUR" w:cs="FrankRuehl" w:hint="cs"/>
          <w:spacing w:val="10"/>
          <w:sz w:val="22"/>
          <w:szCs w:val="28"/>
          <w:rtl/>
        </w:rPr>
        <w:t>, במקרנו מדובר על ניגוד עניינים הנובע מאינטרס אישי של המבקש בשוטרות. המבקש קיים עם השוטרות קשרים אינטימיים, שכללו מגעים מיניים ולרוב גם מערכת יחסים "פלרטטנית" שקדמה או התלוותה למגעים אלה. לא מדובר בניגוד עניינים הנובע מקשר מוסדי, שלגביו נאמר בפסיקה שחומרתו פחותה ביחס לקשר אישי. אף ב</w:t>
      </w:r>
      <w:r>
        <w:rPr>
          <w:rFonts w:ascii="Arial TUR" w:hAnsi="Arial TUR" w:cs="FrankRuehl" w:hint="cs"/>
          <w:spacing w:val="10"/>
          <w:sz w:val="22"/>
          <w:szCs w:val="28"/>
          <w:rtl/>
        </w:rPr>
        <w:t>הקשר</w:t>
      </w:r>
      <w:r w:rsidRPr="007F5756">
        <w:rPr>
          <w:rFonts w:ascii="Arial TUR" w:hAnsi="Arial TUR" w:cs="FrankRuehl" w:hint="cs"/>
          <w:spacing w:val="10"/>
          <w:sz w:val="22"/>
          <w:szCs w:val="28"/>
          <w:rtl/>
        </w:rPr>
        <w:t xml:space="preserve"> לשאלה אם מדובר בקשרים מזדמנים או מתמשכים, יש לומר כי בחלק מהפרשיות</w:t>
      </w:r>
      <w:r>
        <w:rPr>
          <w:rFonts w:ascii="Arial TUR" w:hAnsi="Arial TUR" w:cs="FrankRuehl" w:hint="cs"/>
          <w:spacing w:val="10"/>
          <w:sz w:val="22"/>
          <w:szCs w:val="28"/>
          <w:rtl/>
        </w:rPr>
        <w:t xml:space="preserve"> בענייננו</w:t>
      </w:r>
      <w:r w:rsidRPr="007F5756">
        <w:rPr>
          <w:rFonts w:ascii="Arial TUR" w:hAnsi="Arial TUR" w:cs="FrankRuehl" w:hint="cs"/>
          <w:spacing w:val="10"/>
          <w:sz w:val="22"/>
          <w:szCs w:val="28"/>
          <w:rtl/>
        </w:rPr>
        <w:t xml:space="preserve"> דובר ביחסים ארוכים שנפרסו על פני שנים, כמו למשל בפרשייה הראשונה. במקרים אחרים, הגם שהקשר המיני </w:t>
      </w:r>
      <w:r>
        <w:rPr>
          <w:rFonts w:ascii="Arial TUR" w:hAnsi="Arial TUR" w:cs="FrankRuehl" w:hint="cs"/>
          <w:spacing w:val="10"/>
          <w:sz w:val="22"/>
          <w:szCs w:val="28"/>
          <w:rtl/>
        </w:rPr>
        <w:t xml:space="preserve">בין המבקש והשוטרות </w:t>
      </w:r>
      <w:r w:rsidRPr="007F5756">
        <w:rPr>
          <w:rFonts w:ascii="Arial TUR" w:hAnsi="Arial TUR" w:cs="FrankRuehl" w:hint="cs"/>
          <w:spacing w:val="10"/>
          <w:sz w:val="22"/>
          <w:szCs w:val="28"/>
          <w:rtl/>
        </w:rPr>
        <w:t xml:space="preserve">לא היה ארוך, </w:t>
      </w:r>
      <w:r>
        <w:rPr>
          <w:rFonts w:ascii="Arial TUR" w:hAnsi="Arial TUR" w:cs="FrankRuehl" w:hint="cs"/>
          <w:spacing w:val="10"/>
          <w:sz w:val="22"/>
          <w:szCs w:val="28"/>
          <w:rtl/>
        </w:rPr>
        <w:t>הטיפול בבקשותיהן של</w:t>
      </w:r>
      <w:r w:rsidRPr="007F5756">
        <w:rPr>
          <w:rFonts w:ascii="Arial TUR" w:hAnsi="Arial TUR" w:cs="FrankRuehl" w:hint="cs"/>
          <w:spacing w:val="10"/>
          <w:sz w:val="22"/>
          <w:szCs w:val="28"/>
          <w:rtl/>
        </w:rPr>
        <w:t xml:space="preserve"> השוטרות </w:t>
      </w:r>
      <w:r>
        <w:rPr>
          <w:rFonts w:ascii="Arial TUR" w:hAnsi="Arial TUR" w:cs="FrankRuehl" w:hint="cs"/>
          <w:spacing w:val="10"/>
          <w:sz w:val="22"/>
          <w:szCs w:val="28"/>
          <w:rtl/>
        </w:rPr>
        <w:t>נעשה</w:t>
      </w:r>
      <w:r w:rsidRPr="007F5756">
        <w:rPr>
          <w:rFonts w:ascii="Arial TUR" w:hAnsi="Arial TUR" w:cs="FrankRuehl" w:hint="cs"/>
          <w:spacing w:val="10"/>
          <w:sz w:val="22"/>
          <w:szCs w:val="28"/>
          <w:rtl/>
        </w:rPr>
        <w:t xml:space="preserve"> במרווח זמן קצר של חודשים ושבועות ספורים מן המגעים המיניים, באופן המחריף את ניגוד העניינים.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r w:rsidRPr="007F5756">
        <w:rPr>
          <w:rFonts w:ascii="Arial TUR" w:hAnsi="Arial TUR" w:cs="FrankRuehl" w:hint="cs"/>
          <w:spacing w:val="10"/>
          <w:sz w:val="22"/>
          <w:szCs w:val="28"/>
          <w:rtl/>
        </w:rPr>
        <w:t xml:space="preserve">יתר על כן, ניגוד העניינים במקרנו מתאפיין בנופך מושחת נוסף, שכן הוא נובע מקשרים שעל עצם קיומם מוטל איסור, ואשר לא דווחו לממונים כנדרש. כפי שהבהיר בית המשפט המחוזי,  בנסיבות שנוצרו החשש </w:t>
      </w:r>
      <w:r>
        <w:rPr>
          <w:rFonts w:ascii="Arial TUR" w:hAnsi="Arial TUR" w:cs="FrankRuehl" w:hint="cs"/>
          <w:spacing w:val="10"/>
          <w:sz w:val="22"/>
          <w:szCs w:val="28"/>
          <w:rtl/>
        </w:rPr>
        <w:t>היה</w:t>
      </w:r>
      <w:r w:rsidRPr="007F5756">
        <w:rPr>
          <w:rFonts w:ascii="Arial TUR" w:hAnsi="Arial TUR" w:cs="FrankRuehl" w:hint="cs"/>
          <w:spacing w:val="10"/>
          <w:sz w:val="22"/>
          <w:szCs w:val="28"/>
          <w:rtl/>
        </w:rPr>
        <w:t xml:space="preserve"> לא רק כי המבקש יקבל החלטה מוטה בעניינן של השוטרות משום שהוא חפץ ביקרן כמקורבות לו, אלא גם משום שהוא תלוי בשיתוף הפעולה של</w:t>
      </w:r>
      <w:r>
        <w:rPr>
          <w:rFonts w:ascii="Arial TUR" w:hAnsi="Arial TUR" w:cs="FrankRuehl" w:hint="cs"/>
          <w:spacing w:val="10"/>
          <w:sz w:val="22"/>
          <w:szCs w:val="28"/>
          <w:rtl/>
        </w:rPr>
        <w:t>הן</w:t>
      </w:r>
      <w:r w:rsidRPr="007F5756">
        <w:rPr>
          <w:rFonts w:ascii="Arial TUR" w:hAnsi="Arial TUR" w:cs="FrankRuehl" w:hint="cs"/>
          <w:spacing w:val="10"/>
          <w:sz w:val="22"/>
          <w:szCs w:val="28"/>
          <w:rtl/>
        </w:rPr>
        <w:t xml:space="preserve"> בשמירת הסוד. גילויו של סוד זה היה כרוך בהשלכות קשות מבחינת המבקש, כפי שאכן קרה בפועל</w:t>
      </w:r>
      <w:r>
        <w:rPr>
          <w:rFonts w:ascii="Arial TUR" w:hAnsi="Arial TUR" w:cs="FrankRuehl" w:hint="cs"/>
          <w:spacing w:val="10"/>
          <w:sz w:val="22"/>
          <w:szCs w:val="28"/>
          <w:rtl/>
        </w:rPr>
        <w:t>,</w:t>
      </w:r>
      <w:r w:rsidRPr="007F5756">
        <w:rPr>
          <w:rFonts w:ascii="Arial TUR" w:hAnsi="Arial TUR" w:cs="FrankRuehl" w:hint="cs"/>
          <w:spacing w:val="10"/>
          <w:sz w:val="22"/>
          <w:szCs w:val="28"/>
          <w:rtl/>
        </w:rPr>
        <w:t xml:space="preserve"> עת פוטר משירותו במשטרה עם חשיפת הפרשיות. שיתוף הפעולה בשמירת הסוד היה נדרש גם הרבה לאחר שהסתיים הקשר המיני</w:t>
      </w:r>
      <w:r>
        <w:rPr>
          <w:rFonts w:ascii="Arial TUR" w:hAnsi="Arial TUR" w:cs="FrankRuehl" w:hint="cs"/>
          <w:spacing w:val="10"/>
          <w:sz w:val="22"/>
          <w:szCs w:val="28"/>
          <w:rtl/>
        </w:rPr>
        <w:t xml:space="preserve"> בין המבקש והשוטרות</w:t>
      </w:r>
      <w:r w:rsidRPr="007F5756">
        <w:rPr>
          <w:rFonts w:ascii="Arial TUR" w:hAnsi="Arial TUR" w:cs="FrankRuehl" w:hint="cs"/>
          <w:spacing w:val="10"/>
          <w:sz w:val="22"/>
          <w:szCs w:val="28"/>
          <w:rtl/>
        </w:rPr>
        <w:t xml:space="preserve">, וגם כאשר דובר בקשר שנמשך זמן קצר. משום כך, העובדה שבחלק מהמקרים דובר במגע מיני חד-פעמי או בקשר שהסתיים לפני שנים, אינה מקהה בהרבה מעוצמת ניגוד העניינים </w:t>
      </w:r>
      <w:r w:rsidRPr="007F5756">
        <w:rPr>
          <w:rFonts w:ascii="Arial TUR" w:hAnsi="Arial TUR" w:cs="FrankRuehl"/>
          <w:spacing w:val="10"/>
          <w:sz w:val="22"/>
          <w:szCs w:val="28"/>
          <w:rtl/>
        </w:rPr>
        <w:t>–</w:t>
      </w:r>
      <w:r w:rsidRPr="007F5756">
        <w:rPr>
          <w:rFonts w:ascii="Arial TUR" w:hAnsi="Arial TUR" w:cs="FrankRuehl" w:hint="cs"/>
          <w:spacing w:val="10"/>
          <w:sz w:val="22"/>
          <w:szCs w:val="28"/>
          <w:rtl/>
        </w:rPr>
        <w:t xml:space="preserve"> שנותרת </w:t>
      </w:r>
      <w:r>
        <w:rPr>
          <w:rFonts w:ascii="Arial TUR" w:hAnsi="Arial TUR" w:cs="FrankRuehl" w:hint="cs"/>
          <w:spacing w:val="10"/>
          <w:sz w:val="22"/>
          <w:szCs w:val="28"/>
          <w:rtl/>
        </w:rPr>
        <w:t xml:space="preserve">עדיין </w:t>
      </w:r>
      <w:r w:rsidRPr="007F5756">
        <w:rPr>
          <w:rFonts w:ascii="Arial TUR" w:hAnsi="Arial TUR" w:cs="FrankRuehl" w:hint="cs"/>
          <w:spacing w:val="10"/>
          <w:sz w:val="22"/>
          <w:szCs w:val="28"/>
          <w:rtl/>
        </w:rPr>
        <w:t xml:space="preserve">משמעותית.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hint="cs"/>
          <w:spacing w:val="10"/>
          <w:sz w:val="22"/>
          <w:szCs w:val="28"/>
        </w:rPr>
        <w:t xml:space="preserve">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hint="cs"/>
          <w:spacing w:val="10"/>
          <w:sz w:val="22"/>
          <w:szCs w:val="28"/>
          <w:rtl/>
        </w:rPr>
        <w:t>25.</w:t>
      </w:r>
      <w:r w:rsidRPr="007F5756">
        <w:rPr>
          <w:rFonts w:ascii="Arial TUR" w:hAnsi="Arial TUR" w:cs="FrankRuehl"/>
          <w:spacing w:val="10"/>
          <w:sz w:val="22"/>
          <w:szCs w:val="28"/>
          <w:rtl/>
        </w:rPr>
        <w:tab/>
      </w:r>
      <w:r w:rsidRPr="007F5756">
        <w:rPr>
          <w:rFonts w:ascii="Miriam" w:hAnsi="Miriam" w:cs="Miriam"/>
          <w:spacing w:val="10"/>
          <w:rtl/>
        </w:rPr>
        <w:t>אשר למבחן העזר השני</w:t>
      </w:r>
      <w:r w:rsidRPr="007F5756">
        <w:rPr>
          <w:rFonts w:ascii="Arial TUR" w:hAnsi="Arial TUR" w:cs="FrankRuehl" w:hint="cs"/>
          <w:spacing w:val="10"/>
          <w:sz w:val="22"/>
          <w:szCs w:val="28"/>
          <w:rtl/>
        </w:rPr>
        <w:t xml:space="preserve">. מבחן הסטייה מן השורה בוחן </w:t>
      </w:r>
      <w:r w:rsidRPr="007F5756">
        <w:rPr>
          <w:rFonts w:ascii="Arial TUR" w:hAnsi="Arial TUR" w:cs="FrankRuehl" w:hint="eastAsia"/>
          <w:spacing w:val="10"/>
          <w:sz w:val="22"/>
          <w:szCs w:val="28"/>
          <w:rtl/>
        </w:rPr>
        <w:t>באיזו</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מידה</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אם</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בכלל</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פעל</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עובד</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הציבור</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בניגוד</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לכללים</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ולהוראות</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להם</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הוא</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כפוף</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וחרג</w:t>
      </w:r>
      <w:r w:rsidRPr="007F5756">
        <w:rPr>
          <w:rFonts w:ascii="Arial TUR" w:hAnsi="Arial TUR" w:cs="FrankRuehl"/>
          <w:spacing w:val="10"/>
          <w:sz w:val="22"/>
          <w:szCs w:val="28"/>
          <w:rtl/>
        </w:rPr>
        <w:t xml:space="preserve"> </w:t>
      </w:r>
      <w:r w:rsidRPr="007F5756">
        <w:rPr>
          <w:rFonts w:ascii="Arial TUR" w:hAnsi="Arial TUR" w:cs="FrankRuehl" w:hint="eastAsia"/>
          <w:spacing w:val="10"/>
          <w:sz w:val="22"/>
          <w:szCs w:val="28"/>
          <w:rtl/>
        </w:rPr>
        <w:t>מסמכותו</w:t>
      </w:r>
      <w:r w:rsidRPr="007F5756">
        <w:rPr>
          <w:rFonts w:ascii="Arial TUR" w:hAnsi="Arial TUR" w:cs="FrankRuehl" w:hint="cs"/>
          <w:spacing w:val="10"/>
          <w:sz w:val="22"/>
          <w:szCs w:val="28"/>
          <w:rtl/>
        </w:rPr>
        <w:t xml:space="preserve"> (עניין </w:t>
      </w:r>
      <w:r w:rsidRPr="007F5756">
        <w:rPr>
          <w:rFonts w:ascii="Miriam" w:hAnsi="Miriam" w:cs="Miriam" w:hint="cs"/>
          <w:spacing w:val="10"/>
          <w:rtl/>
        </w:rPr>
        <w:t>חסן</w:t>
      </w:r>
      <w:r w:rsidRPr="007F5756">
        <w:rPr>
          <w:rFonts w:ascii="Arial TUR" w:hAnsi="Arial TUR" w:cs="FrankRuehl" w:hint="cs"/>
          <w:spacing w:val="10"/>
          <w:sz w:val="22"/>
          <w:szCs w:val="28"/>
          <w:rtl/>
        </w:rPr>
        <w:t xml:space="preserve">, פסקה 4 לחוות דעתי). בית משפט השלום מצא כי לא התקיימה בפעולותיו של המבקש סטייה מן השורה. בהקשר זה, צוין כי המבקש עסק בבקשותיהן של השוטרות במסגרת </w:t>
      </w:r>
      <w:r w:rsidRPr="007F5756">
        <w:rPr>
          <w:rFonts w:ascii="Arial TUR" w:hAnsi="Arial TUR" w:cs="FrankRuehl" w:hint="cs"/>
          <w:spacing w:val="10"/>
          <w:sz w:val="22"/>
          <w:szCs w:val="28"/>
          <w:rtl/>
        </w:rPr>
        <w:lastRenderedPageBreak/>
        <w:t xml:space="preserve">סמכותו, וכי ההחלטות שקיבל בעניינן קידמו את האינטרס הציבורי "במבחן התוצאה". נושאים אלה קיבלו משקל מכריע בניתוח </w:t>
      </w:r>
      <w:r>
        <w:rPr>
          <w:rFonts w:ascii="Arial TUR" w:hAnsi="Arial TUR" w:cs="FrankRuehl" w:hint="cs"/>
          <w:spacing w:val="10"/>
          <w:sz w:val="22"/>
          <w:szCs w:val="28"/>
          <w:rtl/>
        </w:rPr>
        <w:t>של בית משפט השלום, ונ</w:t>
      </w:r>
      <w:r w:rsidRPr="007F5756">
        <w:rPr>
          <w:rFonts w:ascii="Arial TUR" w:hAnsi="Arial TUR" w:cs="FrankRuehl" w:hint="cs"/>
          <w:spacing w:val="10"/>
          <w:sz w:val="22"/>
          <w:szCs w:val="28"/>
          <w:rtl/>
        </w:rPr>
        <w:t>ד</w:t>
      </w:r>
      <w:r>
        <w:rPr>
          <w:rFonts w:ascii="Arial TUR" w:hAnsi="Arial TUR" w:cs="FrankRuehl" w:hint="cs"/>
          <w:spacing w:val="10"/>
          <w:sz w:val="22"/>
          <w:szCs w:val="28"/>
          <w:rtl/>
        </w:rPr>
        <w:t>מה שהם ש</w:t>
      </w:r>
      <w:r w:rsidRPr="007F5756">
        <w:rPr>
          <w:rFonts w:ascii="Arial TUR" w:hAnsi="Arial TUR" w:cs="FrankRuehl" w:hint="cs"/>
          <w:spacing w:val="10"/>
          <w:sz w:val="22"/>
          <w:szCs w:val="28"/>
          <w:rtl/>
        </w:rPr>
        <w:t xml:space="preserve">הובילו למסקנתו כי הפעולות לא חצו את הרף הפלילי. ואולם, כפי שציין בית המשפט המחוזי, בעניין </w:t>
      </w:r>
      <w:r w:rsidRPr="007F5756">
        <w:rPr>
          <w:rFonts w:ascii="Miriam" w:hAnsi="Miriam" w:cs="Miriam"/>
          <w:spacing w:val="10"/>
          <w:rtl/>
        </w:rPr>
        <w:t>שבס</w:t>
      </w:r>
      <w:r w:rsidRPr="007F5756">
        <w:rPr>
          <w:rFonts w:ascii="Arial TUR" w:hAnsi="Arial TUR" w:cs="FrankRuehl" w:hint="cs"/>
          <w:spacing w:val="10"/>
          <w:sz w:val="22"/>
          <w:szCs w:val="28"/>
          <w:rtl/>
        </w:rPr>
        <w:t xml:space="preserve"> הובהר כי סטייה מן השורה אינה תנאי הכרחי להפרת אמונים. בנוסף, העובדה שעובד הציבור קידם בפעולותיו גם את האינטרס הציבורי, לא מנעה מבית משפט זה להרשיע נאשמים שפעלו בניגוד עניינים</w:t>
      </w:r>
      <w:r>
        <w:rPr>
          <w:rFonts w:ascii="Arial TUR" w:hAnsi="Arial TUR" w:cs="FrankRuehl" w:hint="cs"/>
          <w:spacing w:val="10"/>
          <w:sz w:val="22"/>
          <w:szCs w:val="28"/>
          <w:rtl/>
        </w:rPr>
        <w:t xml:space="preserve"> בעבירה של הפרת אמונים</w:t>
      </w:r>
      <w:r w:rsidRPr="007F5756">
        <w:rPr>
          <w:rFonts w:ascii="Arial TUR" w:hAnsi="Arial TUR" w:cs="FrankRuehl" w:hint="cs"/>
          <w:spacing w:val="10"/>
          <w:sz w:val="22"/>
          <w:szCs w:val="28"/>
          <w:rtl/>
        </w:rPr>
        <w:t xml:space="preserve"> (ראו: </w:t>
      </w:r>
      <w:r w:rsidRPr="007F5756">
        <w:rPr>
          <w:rFonts w:ascii="Century" w:hAnsi="Century" w:cs="Miriam" w:hint="cs"/>
          <w:b/>
          <w:sz w:val="22"/>
          <w:rtl/>
        </w:rPr>
        <w:t>עניין שבס</w:t>
      </w:r>
      <w:r w:rsidRPr="007F5756">
        <w:rPr>
          <w:rFonts w:ascii="Arial TUR" w:hAnsi="Arial TUR" w:cs="FrankRuehl" w:hint="cs"/>
          <w:spacing w:val="10"/>
          <w:sz w:val="22"/>
          <w:szCs w:val="28"/>
          <w:rtl/>
        </w:rPr>
        <w:t xml:space="preserve">, עמ' 420א' ו-459ג'; ע"פ 846/12 </w:t>
      </w:r>
      <w:r w:rsidRPr="007F5756">
        <w:rPr>
          <w:rFonts w:ascii="Miriam" w:hAnsi="Miriam" w:cs="Miriam"/>
          <w:spacing w:val="10"/>
          <w:rtl/>
        </w:rPr>
        <w:t>ויטה נ' מדינת ישראל</w:t>
      </w:r>
      <w:r w:rsidRPr="007F5756">
        <w:rPr>
          <w:rFonts w:ascii="Arial TUR" w:hAnsi="Arial TUR" w:cs="FrankRuehl" w:hint="cs"/>
          <w:spacing w:val="10"/>
          <w:sz w:val="22"/>
          <w:szCs w:val="28"/>
          <w:rtl/>
        </w:rPr>
        <w:t>, פסקה 51 לפסק דינה של המשנה לנשיא נאור (24.12.2012)). כאשר נותנים לשיקול בדבר תוצאות הפעולות והסטייה מן השורה את המשקל הראוי לו</w:t>
      </w:r>
      <w:r>
        <w:rPr>
          <w:rFonts w:ascii="Arial TUR" w:hAnsi="Arial TUR" w:cs="FrankRuehl" w:hint="cs"/>
          <w:spacing w:val="10"/>
          <w:sz w:val="22"/>
          <w:szCs w:val="28"/>
          <w:rtl/>
        </w:rPr>
        <w:t>,</w:t>
      </w:r>
      <w:r w:rsidRPr="007F5756">
        <w:rPr>
          <w:rFonts w:ascii="Arial TUR" w:hAnsi="Arial TUR" w:cs="FrankRuehl" w:hint="cs"/>
          <w:spacing w:val="10"/>
          <w:sz w:val="22"/>
          <w:szCs w:val="28"/>
          <w:rtl/>
        </w:rPr>
        <w:t xml:space="preserve"> התמונה המצטיירת מהתנהגותו של המבקש חמורה ואיננה גבולית.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r w:rsidRPr="007F5756">
        <w:rPr>
          <w:rFonts w:ascii="Arial TUR" w:hAnsi="Arial TUR" w:cs="FrankRuehl" w:hint="cs"/>
          <w:spacing w:val="10"/>
          <w:sz w:val="22"/>
          <w:szCs w:val="28"/>
          <w:rtl/>
        </w:rPr>
        <w:t xml:space="preserve">כך למשל, בפרשה השנייה דובר בשתי פעולות, ולא בפעולה אחת, שביצע המבקש במצב של ניגוד עניינים מתמשך. הפעולה השנייה כללה הוראה של המבקש למפקד כפוף לו לקלוט את השוטרת ב' לתפקיד מסוים ביחידתו, בניגוד לעמדתו המקצועית </w:t>
      </w:r>
      <w:r>
        <w:rPr>
          <w:rFonts w:ascii="Arial TUR" w:hAnsi="Arial TUR" w:cs="FrankRuehl" w:hint="cs"/>
          <w:spacing w:val="10"/>
          <w:sz w:val="22"/>
          <w:szCs w:val="28"/>
          <w:rtl/>
        </w:rPr>
        <w:t xml:space="preserve">של </w:t>
      </w:r>
      <w:r w:rsidRPr="007F5756">
        <w:rPr>
          <w:rFonts w:ascii="Arial TUR" w:hAnsi="Arial TUR" w:cs="FrankRuehl" w:hint="cs"/>
          <w:spacing w:val="10"/>
          <w:sz w:val="22"/>
          <w:szCs w:val="28"/>
          <w:rtl/>
        </w:rPr>
        <w:t xml:space="preserve">אותו מפקד. בהקשר זה, התמקד בית משפט השלום בשאלה האם ב' הייתה כשירה לכהן בתפקיד המסוים. יש לקבל את ביקורתו של בית המשפט המחוזי שלפיה הדגש הנכון לא היה צריך להיות מושם על עניין זה, אלא על כך שהמבקש התערב באופן אקטיבי, שיש בו מראית עין קשה, בקידומה של ב' </w:t>
      </w:r>
      <w:r w:rsidRPr="007F5756">
        <w:rPr>
          <w:rFonts w:ascii="Arial TUR" w:hAnsi="Arial TUR" w:cs="FrankRuehl"/>
          <w:spacing w:val="10"/>
          <w:sz w:val="22"/>
          <w:szCs w:val="28"/>
          <w:rtl/>
        </w:rPr>
        <w:t>–</w:t>
      </w:r>
      <w:r w:rsidRPr="007F5756">
        <w:rPr>
          <w:rFonts w:ascii="Arial TUR" w:hAnsi="Arial TUR" w:cs="FrankRuehl" w:hint="cs"/>
          <w:spacing w:val="10"/>
          <w:sz w:val="22"/>
          <w:szCs w:val="28"/>
          <w:rtl/>
        </w:rPr>
        <w:t xml:space="preserve"> לאחר שקיים עמה קשר מיני שקדם לו גם קשר "</w:t>
      </w:r>
      <w:proofErr w:type="spellStart"/>
      <w:r w:rsidRPr="007F5756">
        <w:rPr>
          <w:rFonts w:ascii="Arial TUR" w:hAnsi="Arial TUR" w:cs="FrankRuehl" w:hint="cs"/>
          <w:spacing w:val="10"/>
          <w:sz w:val="22"/>
          <w:szCs w:val="28"/>
          <w:rtl/>
        </w:rPr>
        <w:t>פלרטטני</w:t>
      </w:r>
      <w:proofErr w:type="spellEnd"/>
      <w:r w:rsidRPr="007F5756">
        <w:rPr>
          <w:rFonts w:ascii="Arial TUR" w:hAnsi="Arial TUR" w:cs="FrankRuehl" w:hint="cs"/>
          <w:spacing w:val="10"/>
          <w:sz w:val="22"/>
          <w:szCs w:val="28"/>
          <w:rtl/>
        </w:rPr>
        <w:t>" ממושך. גם בפרשייה השמינית פנה המבקש לקצין בדרגה נמוכה יותר, כאשר הפעם ביקש ממנו לקצר את משך השירות של בעלה של השוטרת ח', שעמה קיים קשר מיני. בית משפט השלום בחן בעיקר את ההשפעה של פנייה זו על קיצור השירות שקיבל הבעל בפועל.</w:t>
      </w:r>
      <w:r>
        <w:rPr>
          <w:rFonts w:ascii="Arial TUR" w:hAnsi="Arial TUR" w:cs="FrankRuehl" w:hint="cs"/>
          <w:spacing w:val="10"/>
          <w:sz w:val="22"/>
          <w:szCs w:val="28"/>
          <w:rtl/>
        </w:rPr>
        <w:t xml:space="preserve"> </w:t>
      </w:r>
      <w:r w:rsidRPr="007F5756">
        <w:rPr>
          <w:rFonts w:ascii="Arial TUR" w:hAnsi="Arial TUR" w:cs="FrankRuehl" w:hint="cs"/>
          <w:spacing w:val="10"/>
          <w:sz w:val="22"/>
          <w:szCs w:val="28"/>
          <w:rtl/>
        </w:rPr>
        <w:t>זא</w:t>
      </w:r>
      <w:r>
        <w:rPr>
          <w:rFonts w:ascii="Arial TUR" w:hAnsi="Arial TUR" w:cs="FrankRuehl" w:hint="cs"/>
          <w:spacing w:val="10"/>
          <w:sz w:val="22"/>
          <w:szCs w:val="28"/>
          <w:rtl/>
        </w:rPr>
        <w:t>ת</w:t>
      </w:r>
      <w:r w:rsidRPr="007F5756">
        <w:rPr>
          <w:rFonts w:ascii="Arial TUR" w:hAnsi="Arial TUR" w:cs="FrankRuehl" w:hint="cs"/>
          <w:spacing w:val="10"/>
          <w:sz w:val="22"/>
          <w:szCs w:val="28"/>
          <w:rtl/>
        </w:rPr>
        <w:t xml:space="preserve">, תוך שנעדרה התייחסות לעובדה הבעייתית כי מדובר בפעולה שהמבקש ביצע שלא במסגרת תפקידו הרגיל, ושהסיבה לנקוט בה לא הובררה.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spacing w:val="10"/>
          <w:sz w:val="22"/>
          <w:szCs w:val="28"/>
          <w:rtl/>
        </w:rPr>
        <w:tab/>
      </w:r>
      <w:r w:rsidRPr="007F5756">
        <w:rPr>
          <w:rFonts w:ascii="Arial TUR" w:hAnsi="Arial TUR" w:cs="FrankRuehl" w:hint="cs"/>
          <w:spacing w:val="10"/>
          <w:sz w:val="22"/>
          <w:szCs w:val="28"/>
          <w:rtl/>
        </w:rPr>
        <w:t xml:space="preserve">לבסוף, בפרשיות השלישית והרביעית טיפל המבקש בבקשות המעבר של השוטרות ג' ו-ד'. בית המשפט המחוזי העיר כי בשני המקרים התמקד בית משפט השלום בהצדקה לאישור הבקשות: בפרשייה השלישית, נקבע שהאישור היה מתבקש על רקע סגירת היחידה הקודמת של ג' והצטיינותה בתפקיד. בפרשייה הרביעית, צוין כי הפנייה שביצע המבקש </w:t>
      </w:r>
      <w:r>
        <w:rPr>
          <w:rFonts w:ascii="Arial TUR" w:hAnsi="Arial TUR" w:cs="FrankRuehl" w:hint="cs"/>
          <w:spacing w:val="10"/>
          <w:sz w:val="22"/>
          <w:szCs w:val="28"/>
          <w:rtl/>
        </w:rPr>
        <w:t xml:space="preserve">לקצינת משאבי האנוש </w:t>
      </w:r>
      <w:r w:rsidRPr="007F5756">
        <w:rPr>
          <w:rFonts w:ascii="Arial TUR" w:hAnsi="Arial TUR" w:cs="FrankRuehl" w:hint="cs"/>
          <w:spacing w:val="10"/>
          <w:sz w:val="22"/>
          <w:szCs w:val="28"/>
          <w:rtl/>
        </w:rPr>
        <w:t xml:space="preserve">במטרה לזרז את המעבר של ד', נועדה לקדם את החלטת המעבר שהייתה ראויה. ואולם, העובדה שהפעולות היו צודקות לגופן, אינה מצדיקה את העיסוק של המבקש בהן. זאת, בסמיכות רבה של שבועות עד חודשים מהמגעים המיניים שקיים עם אותן שוטרות. כך במיוחד, גם בשים לב לחשיבות הרבה שהייתה לבקשות אלה עבור השוטרות, וראו למשל את עדותה של ד' שלפיה ההיענות </w:t>
      </w:r>
      <w:r w:rsidRPr="007F5756">
        <w:rPr>
          <w:rFonts w:ascii="Arial TUR" w:hAnsi="Arial TUR" w:cs="FrankRuehl" w:hint="cs"/>
          <w:spacing w:val="10"/>
          <w:sz w:val="22"/>
          <w:szCs w:val="28"/>
          <w:rtl/>
        </w:rPr>
        <w:lastRenderedPageBreak/>
        <w:t>של המבקש לבקשת</w:t>
      </w:r>
      <w:r>
        <w:rPr>
          <w:rFonts w:ascii="Arial TUR" w:hAnsi="Arial TUR" w:cs="FrankRuehl" w:hint="cs"/>
          <w:spacing w:val="10"/>
          <w:sz w:val="22"/>
          <w:szCs w:val="28"/>
          <w:rtl/>
        </w:rPr>
        <w:t xml:space="preserve"> המעבר שלה</w:t>
      </w:r>
      <w:r w:rsidRPr="007F5756">
        <w:rPr>
          <w:rFonts w:ascii="Arial TUR" w:hAnsi="Arial TUR" w:cs="FrankRuehl" w:hint="cs"/>
          <w:spacing w:val="10"/>
          <w:sz w:val="22"/>
          <w:szCs w:val="28"/>
          <w:rtl/>
        </w:rPr>
        <w:t xml:space="preserve"> "שינתה לה את החיים" ו"הצילה אותה ואת המשפחה שלה" (עמ' 44 לפרוטוקול הדיון בבית משפט השלום, שורות 28-27)).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hint="cs"/>
          <w:spacing w:val="10"/>
          <w:sz w:val="22"/>
          <w:szCs w:val="28"/>
          <w:rtl/>
        </w:rPr>
        <w:t>26.</w:t>
      </w:r>
      <w:r w:rsidRPr="007F5756">
        <w:rPr>
          <w:rFonts w:ascii="Arial TUR" w:hAnsi="Arial TUR" w:cs="FrankRuehl"/>
          <w:spacing w:val="10"/>
          <w:sz w:val="22"/>
          <w:szCs w:val="28"/>
          <w:rtl/>
        </w:rPr>
        <w:tab/>
      </w:r>
      <w:r w:rsidRPr="007F5756">
        <w:rPr>
          <w:rFonts w:ascii="Miriam" w:hAnsi="Miriam" w:cs="Miriam"/>
          <w:spacing w:val="10"/>
          <w:rtl/>
        </w:rPr>
        <w:t>בנוגע למבחן העזר השלישי</w:t>
      </w:r>
      <w:r w:rsidRPr="007F5756">
        <w:rPr>
          <w:rFonts w:ascii="Arial TUR" w:hAnsi="Arial TUR" w:cs="FrankRuehl" w:hint="cs"/>
          <w:spacing w:val="10"/>
          <w:sz w:val="22"/>
          <w:szCs w:val="28"/>
          <w:rtl/>
        </w:rPr>
        <w:t>, הרי שמעמדו של המבקש במשטרה היה בכיר ביותר. המבקש כיהן בתקופה הרלוונטית כסגן מפקד מחוז, כראש אגף במטה הארצי וכמפקד מחוז. בשני התפקידים האחרונים כיהן בדרגת ניצב, דרגה אשר פחותה רק מדרגתו של המפכ"ל. ביחס לעובד בעמדה כה בכירה, נפסק כבר כי גם פעולה מינורית יחסית מצדו היא בעלת פוטנציאל להשפיע הרבה יותר מפעולה אינטנסיבית של עובד ציבור זוטר (</w:t>
      </w:r>
      <w:r w:rsidRPr="007F5756">
        <w:rPr>
          <w:rFonts w:ascii="Miriam" w:hAnsi="Miriam" w:cs="Miriam"/>
          <w:spacing w:val="10"/>
          <w:rtl/>
        </w:rPr>
        <w:t>עניין שבס</w:t>
      </w:r>
      <w:r w:rsidRPr="007F5756">
        <w:rPr>
          <w:rFonts w:ascii="Arial TUR" w:hAnsi="Arial TUR" w:cs="FrankRuehl" w:hint="cs"/>
          <w:spacing w:val="10"/>
          <w:sz w:val="22"/>
          <w:szCs w:val="28"/>
          <w:rtl/>
        </w:rPr>
        <w:t xml:space="preserve">, עמ' 420). עוד יש לזכור, כי המבקש כיהן בעת הרלוונטית בתפקידים ניהוליים, כאשר מספר רב של שוטרים כפופים לו פיקודית ונושאים אליו את עיניהם. בפעולותיו שלח המבקש מסר לאותם שוטרים כי התנהגותו הפסולה מותרת היא, באופן שיש לו השפעה משחיתה בתוך הארגון פנימה, וגם החוצה כלפי הציבור.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sidRPr="007F5756">
        <w:rPr>
          <w:rFonts w:ascii="Arial TUR" w:hAnsi="Arial TUR" w:cs="FrankRuehl" w:hint="cs"/>
          <w:spacing w:val="10"/>
          <w:sz w:val="22"/>
          <w:szCs w:val="28"/>
          <w:rtl/>
        </w:rPr>
        <w:t>27.</w:t>
      </w:r>
      <w:r w:rsidRPr="007F5756">
        <w:rPr>
          <w:rFonts w:ascii="Arial TUR" w:hAnsi="Arial TUR" w:cs="FrankRuehl"/>
          <w:spacing w:val="10"/>
          <w:sz w:val="22"/>
          <w:szCs w:val="28"/>
          <w:rtl/>
        </w:rPr>
        <w:tab/>
      </w:r>
      <w:r>
        <w:rPr>
          <w:rFonts w:ascii="Arial TUR" w:hAnsi="Arial TUR" w:cs="FrankRuehl" w:hint="cs"/>
          <w:spacing w:val="10"/>
          <w:sz w:val="22"/>
          <w:szCs w:val="28"/>
          <w:rtl/>
        </w:rPr>
        <w:t>לסיכום האמור:</w:t>
      </w:r>
      <w:r w:rsidRPr="007F5756">
        <w:rPr>
          <w:rFonts w:ascii="Arial TUR" w:hAnsi="Arial TUR" w:cs="FrankRuehl" w:hint="cs"/>
          <w:spacing w:val="10"/>
          <w:sz w:val="22"/>
          <w:szCs w:val="28"/>
          <w:rtl/>
        </w:rPr>
        <w:t xml:space="preserve"> בחינת הפעולות של המבקש על-פי אמות המידה שנקבעו בפסיקה, משקפת פגיעה משמעותית בערכים המוגנים. כפי שהוסבר, האינטרס האישי של המבקש בשוט</w:t>
      </w:r>
      <w:r>
        <w:rPr>
          <w:rFonts w:ascii="Arial TUR" w:hAnsi="Arial TUR" w:cs="FrankRuehl" w:hint="cs"/>
          <w:spacing w:val="10"/>
          <w:sz w:val="22"/>
          <w:szCs w:val="28"/>
          <w:rtl/>
        </w:rPr>
        <w:t xml:space="preserve">רות, במיוחד לאור קיומו של מעטה </w:t>
      </w:r>
      <w:r w:rsidRPr="007F5756">
        <w:rPr>
          <w:rFonts w:ascii="Arial TUR" w:hAnsi="Arial TUR" w:cs="FrankRuehl" w:hint="cs"/>
          <w:spacing w:val="10"/>
          <w:sz w:val="22"/>
          <w:szCs w:val="28"/>
          <w:rtl/>
        </w:rPr>
        <w:t xml:space="preserve">סוד על הקשרים האסורים, היה בעוצמה חזקה. </w:t>
      </w:r>
      <w:r>
        <w:rPr>
          <w:rFonts w:ascii="Arial TUR" w:hAnsi="Arial TUR" w:cs="FrankRuehl" w:hint="cs"/>
          <w:spacing w:val="10"/>
          <w:sz w:val="22"/>
          <w:szCs w:val="28"/>
          <w:rtl/>
        </w:rPr>
        <w:t xml:space="preserve">בנוסף לכך, </w:t>
      </w:r>
      <w:r w:rsidRPr="007F5756">
        <w:rPr>
          <w:rFonts w:ascii="Arial TUR" w:hAnsi="Arial TUR" w:cs="FrankRuehl" w:hint="cs"/>
          <w:spacing w:val="10"/>
          <w:sz w:val="22"/>
          <w:szCs w:val="28"/>
          <w:rtl/>
        </w:rPr>
        <w:t>התנהגותו של המבקש כללה היבטים חמורים</w:t>
      </w:r>
      <w:r>
        <w:rPr>
          <w:rFonts w:ascii="Arial TUR" w:hAnsi="Arial TUR" w:cs="FrankRuehl" w:hint="cs"/>
          <w:spacing w:val="10"/>
          <w:sz w:val="22"/>
          <w:szCs w:val="28"/>
          <w:rtl/>
        </w:rPr>
        <w:t xml:space="preserve"> </w:t>
      </w:r>
      <w:r w:rsidRPr="007F5756">
        <w:rPr>
          <w:rFonts w:ascii="Arial TUR" w:hAnsi="Arial TUR" w:cs="FrankRuehl" w:hint="cs"/>
          <w:spacing w:val="10"/>
          <w:sz w:val="22"/>
          <w:szCs w:val="28"/>
          <w:rtl/>
        </w:rPr>
        <w:t xml:space="preserve">שונים, כגון משך ניגוד העניינים בחלק מהמקרים, האקטיביות של הפעולות, וחשיבותן של הבקשות בהן עסק לשוטרות הכפופות לו. לבסוף, מעמדו של המבקש במשטרה </w:t>
      </w:r>
      <w:r>
        <w:rPr>
          <w:rFonts w:ascii="Arial TUR" w:hAnsi="Arial TUR" w:cs="FrankRuehl" w:hint="cs"/>
          <w:spacing w:val="10"/>
          <w:sz w:val="22"/>
          <w:szCs w:val="28"/>
          <w:rtl/>
        </w:rPr>
        <w:t xml:space="preserve">היה </w:t>
      </w:r>
      <w:r w:rsidRPr="007F5756">
        <w:rPr>
          <w:rFonts w:ascii="Arial TUR" w:hAnsi="Arial TUR" w:cs="FrankRuehl" w:hint="cs"/>
          <w:spacing w:val="10"/>
          <w:sz w:val="22"/>
          <w:szCs w:val="28"/>
          <w:rtl/>
        </w:rPr>
        <w:t xml:space="preserve">בכיר ביותר, וכוח השפעתו </w:t>
      </w:r>
      <w:r>
        <w:rPr>
          <w:rFonts w:ascii="Arial TUR" w:hAnsi="Arial TUR" w:cs="FrankRuehl" w:hint="cs"/>
          <w:spacing w:val="10"/>
          <w:sz w:val="22"/>
          <w:szCs w:val="28"/>
          <w:rtl/>
        </w:rPr>
        <w:t xml:space="preserve">היה </w:t>
      </w:r>
      <w:r w:rsidRPr="007F5756">
        <w:rPr>
          <w:rFonts w:ascii="Arial TUR" w:hAnsi="Arial TUR" w:cs="FrankRuehl" w:hint="cs"/>
          <w:spacing w:val="10"/>
          <w:sz w:val="22"/>
          <w:szCs w:val="28"/>
          <w:rtl/>
        </w:rPr>
        <w:t xml:space="preserve">גדול בהתאם. לאור </w:t>
      </w:r>
      <w:r>
        <w:rPr>
          <w:rFonts w:ascii="Arial TUR" w:hAnsi="Arial TUR" w:cs="FrankRuehl" w:hint="cs"/>
          <w:spacing w:val="10"/>
          <w:sz w:val="22"/>
          <w:szCs w:val="28"/>
          <w:rtl/>
        </w:rPr>
        <w:t>כל זאת</w:t>
      </w:r>
      <w:r w:rsidRPr="007F5756">
        <w:rPr>
          <w:rFonts w:ascii="Arial TUR" w:hAnsi="Arial TUR" w:cs="FrankRuehl" w:hint="cs"/>
          <w:spacing w:val="10"/>
          <w:sz w:val="22"/>
          <w:szCs w:val="28"/>
          <w:rtl/>
        </w:rPr>
        <w:t>, גם אם נגיד שכל פעולה בניגוד עניינים שביצע המבקש אינה טומנת בחובה "פן מחמיר נוסף", פן מחמיר זה בוודאי מתקיים כאשר מביטים על דפו</w:t>
      </w:r>
      <w:r>
        <w:rPr>
          <w:rFonts w:ascii="Arial TUR" w:hAnsi="Arial TUR" w:cs="FrankRuehl" w:hint="cs"/>
          <w:spacing w:val="10"/>
          <w:sz w:val="22"/>
          <w:szCs w:val="28"/>
          <w:rtl/>
        </w:rPr>
        <w:t xml:space="preserve">ס ההתנהגות כולו בביצוע הפעולות. </w:t>
      </w:r>
      <w:r w:rsidRPr="007F5756">
        <w:rPr>
          <w:rFonts w:ascii="Arial TUR" w:hAnsi="Arial TUR" w:cs="FrankRuehl" w:hint="cs"/>
          <w:spacing w:val="10"/>
          <w:sz w:val="22"/>
          <w:szCs w:val="28"/>
          <w:rtl/>
        </w:rPr>
        <w:t>על אחת כמה וכמה</w:t>
      </w:r>
      <w:r>
        <w:rPr>
          <w:rFonts w:ascii="Arial TUR" w:hAnsi="Arial TUR" w:cs="FrankRuehl" w:hint="cs"/>
          <w:spacing w:val="10"/>
          <w:sz w:val="22"/>
          <w:szCs w:val="28"/>
          <w:rtl/>
        </w:rPr>
        <w:t>,</w:t>
      </w:r>
      <w:r w:rsidRPr="007F5756">
        <w:rPr>
          <w:rFonts w:ascii="Arial TUR" w:hAnsi="Arial TUR" w:cs="FrankRuehl" w:hint="cs"/>
          <w:spacing w:val="10"/>
          <w:sz w:val="22"/>
          <w:szCs w:val="28"/>
          <w:rtl/>
        </w:rPr>
        <w:t xml:space="preserve"> כאשר </w:t>
      </w:r>
      <w:r>
        <w:rPr>
          <w:rFonts w:ascii="Arial TUR" w:hAnsi="Arial TUR" w:cs="FrankRuehl" w:hint="cs"/>
          <w:spacing w:val="10"/>
          <w:sz w:val="22"/>
          <w:szCs w:val="28"/>
          <w:rtl/>
        </w:rPr>
        <w:t>דפוס זה</w:t>
      </w:r>
      <w:r w:rsidRPr="007F5756">
        <w:rPr>
          <w:rFonts w:ascii="Arial TUR" w:hAnsi="Arial TUR" w:cs="FrankRuehl" w:hint="cs"/>
          <w:spacing w:val="10"/>
          <w:sz w:val="22"/>
          <w:szCs w:val="28"/>
          <w:rtl/>
        </w:rPr>
        <w:t xml:space="preserve"> </w:t>
      </w:r>
      <w:r>
        <w:rPr>
          <w:rFonts w:ascii="Arial TUR" w:hAnsi="Arial TUR" w:cs="FrankRuehl" w:hint="cs"/>
          <w:spacing w:val="10"/>
          <w:sz w:val="22"/>
          <w:szCs w:val="28"/>
          <w:rtl/>
        </w:rPr>
        <w:t xml:space="preserve">מגיע בהמשך </w:t>
      </w:r>
      <w:r w:rsidRPr="007F5756">
        <w:rPr>
          <w:rFonts w:ascii="Arial TUR" w:hAnsi="Arial TUR" w:cs="FrankRuehl" w:hint="cs"/>
          <w:spacing w:val="10"/>
          <w:sz w:val="22"/>
          <w:szCs w:val="28"/>
          <w:rtl/>
        </w:rPr>
        <w:t>ל</w:t>
      </w:r>
      <w:r>
        <w:rPr>
          <w:rFonts w:ascii="Arial TUR" w:hAnsi="Arial TUR" w:cs="FrankRuehl" w:hint="cs"/>
          <w:spacing w:val="10"/>
          <w:sz w:val="22"/>
          <w:szCs w:val="28"/>
          <w:rtl/>
        </w:rPr>
        <w:t xml:space="preserve">שלב הקודם של קיום </w:t>
      </w:r>
      <w:r w:rsidRPr="007F5756">
        <w:rPr>
          <w:rFonts w:ascii="Arial TUR" w:hAnsi="Arial TUR" w:cs="FrankRuehl" w:hint="cs"/>
          <w:spacing w:val="10"/>
          <w:sz w:val="22"/>
          <w:szCs w:val="28"/>
          <w:rtl/>
        </w:rPr>
        <w:t>קשרים א</w:t>
      </w:r>
      <w:r>
        <w:rPr>
          <w:rFonts w:ascii="Arial TUR" w:hAnsi="Arial TUR" w:cs="FrankRuehl" w:hint="cs"/>
          <w:spacing w:val="10"/>
          <w:sz w:val="22"/>
          <w:szCs w:val="28"/>
          <w:rtl/>
        </w:rPr>
        <w:t>ינטימיים א</w:t>
      </w:r>
      <w:r w:rsidRPr="007F5756">
        <w:rPr>
          <w:rFonts w:ascii="Arial TUR" w:hAnsi="Arial TUR" w:cs="FrankRuehl" w:hint="cs"/>
          <w:spacing w:val="10"/>
          <w:sz w:val="22"/>
          <w:szCs w:val="28"/>
          <w:rtl/>
        </w:rPr>
        <w:t>סורים עם כפיפות</w:t>
      </w:r>
      <w:r>
        <w:rPr>
          <w:rFonts w:ascii="Arial TUR" w:hAnsi="Arial TUR" w:cs="FrankRuehl" w:hint="cs"/>
          <w:spacing w:val="10"/>
          <w:sz w:val="22"/>
          <w:szCs w:val="28"/>
          <w:rtl/>
        </w:rPr>
        <w:t>.</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Default="00D865EA" w:rsidP="00D865EA">
      <w:pPr>
        <w:tabs>
          <w:tab w:val="left" w:pos="800"/>
        </w:tabs>
        <w:spacing w:line="360" w:lineRule="auto"/>
        <w:jc w:val="both"/>
        <w:rPr>
          <w:rFonts w:ascii="Arial TUR" w:hAnsi="Arial TUR" w:cs="FrankRuehl"/>
          <w:spacing w:val="10"/>
          <w:sz w:val="22"/>
          <w:szCs w:val="28"/>
          <w:rtl/>
        </w:rPr>
      </w:pPr>
      <w:r>
        <w:rPr>
          <w:rFonts w:ascii="Arial TUR" w:hAnsi="Arial TUR" w:cs="FrankRuehl" w:hint="cs"/>
          <w:spacing w:val="10"/>
          <w:sz w:val="22"/>
          <w:szCs w:val="28"/>
          <w:rtl/>
        </w:rPr>
        <w:t>28.</w:t>
      </w:r>
      <w:r w:rsidRPr="007F5756">
        <w:rPr>
          <w:rFonts w:ascii="Arial TUR" w:hAnsi="Arial TUR" w:cs="FrankRuehl"/>
          <w:spacing w:val="10"/>
          <w:sz w:val="22"/>
          <w:szCs w:val="28"/>
          <w:rtl/>
        </w:rPr>
        <w:tab/>
      </w:r>
      <w:r w:rsidRPr="007F5756">
        <w:rPr>
          <w:rFonts w:ascii="Arial TUR" w:hAnsi="Arial TUR" w:cs="FrankRuehl" w:hint="cs"/>
          <w:spacing w:val="10"/>
          <w:sz w:val="22"/>
          <w:szCs w:val="28"/>
          <w:rtl/>
        </w:rPr>
        <w:t>המסקנה היא שהתנהגותו של המבקש, כאשר היא נבחנת כמכלול, נופלת הרחק מעבר לאזור "האפור" שעליו חולש הדין המשמעתי, ובתוככי העבירה הפלילית של הפרת אמונים. כן הרחבתי לעיל, מתי ומדוע יש לבחון את התנהגותו של עובד הציבור כמכלול אחד, במסגרת תזת הצבירה. הדבר ניתן, ואף ראוי</w:t>
      </w:r>
      <w:r>
        <w:rPr>
          <w:rFonts w:ascii="Arial TUR" w:hAnsi="Arial TUR" w:cs="FrankRuehl" w:hint="cs"/>
          <w:spacing w:val="10"/>
          <w:sz w:val="22"/>
          <w:szCs w:val="28"/>
          <w:rtl/>
        </w:rPr>
        <w:t xml:space="preserve"> שייעשה</w:t>
      </w:r>
      <w:r w:rsidRPr="007F5756">
        <w:rPr>
          <w:rFonts w:ascii="Arial TUR" w:hAnsi="Arial TUR" w:cs="FrankRuehl" w:hint="cs"/>
          <w:spacing w:val="10"/>
          <w:sz w:val="22"/>
          <w:szCs w:val="28"/>
          <w:rtl/>
        </w:rPr>
        <w:t xml:space="preserve">, בנסיבות תיק זה. התוצאה היא שיש להותיר על כנה את הרשעתו של המבקש בעבירה של הפרת אמונים. </w:t>
      </w:r>
    </w:p>
    <w:p w:rsidR="00D865EA"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Pr>
          <w:rFonts w:ascii="Arial TUR" w:hAnsi="Arial TUR" w:cs="FrankRuehl"/>
          <w:spacing w:val="10"/>
          <w:sz w:val="22"/>
          <w:szCs w:val="28"/>
          <w:rtl/>
        </w:rPr>
        <w:tab/>
      </w:r>
      <w:r w:rsidRPr="007F5756">
        <w:rPr>
          <w:rFonts w:ascii="Arial TUR" w:hAnsi="Arial TUR" w:cs="FrankRuehl" w:hint="cs"/>
          <w:spacing w:val="10"/>
          <w:sz w:val="22"/>
          <w:szCs w:val="28"/>
          <w:rtl/>
        </w:rPr>
        <w:t xml:space="preserve">קביעה זו דורשת שתי הבהרות. ראשית, </w:t>
      </w:r>
      <w:r>
        <w:rPr>
          <w:rFonts w:ascii="Arial TUR" w:hAnsi="Arial TUR" w:cs="FrankRuehl" w:hint="cs"/>
          <w:spacing w:val="10"/>
          <w:sz w:val="22"/>
          <w:szCs w:val="28"/>
          <w:rtl/>
        </w:rPr>
        <w:t xml:space="preserve">כפי שהוסבר בפסקאות 17 ו-19 לעיל, הקשרים המיניים והפעולות שנטען שבוצעו בניגוד עניינים בפרשייה הראשונה והחמישית שעליהם חלה התיישנות, אינם חלק מהמצבור העומד בבסיס ההרשעה. בהקשר זה יודגש כי די ביתר המעשים שלא התיישנו, בפרשיות אלה וביתר הפרשיות, </w:t>
      </w:r>
      <w:r>
        <w:rPr>
          <w:rFonts w:ascii="Arial TUR" w:hAnsi="Arial TUR" w:cs="FrankRuehl" w:hint="cs"/>
          <w:spacing w:val="10"/>
          <w:sz w:val="22"/>
          <w:szCs w:val="28"/>
          <w:rtl/>
        </w:rPr>
        <w:lastRenderedPageBreak/>
        <w:t xml:space="preserve">כדי לבסס את ההרשעה של המבקש בעבירה של הפרת אמונים. אף לא נראה כי בית המשפט המחוזי נתן משקל למעשים אלה שהתיישנו במסגרת הכרעתו לגבי ההרשעה ולגבי העונש. </w:t>
      </w:r>
      <w:r w:rsidRPr="007F5756">
        <w:rPr>
          <w:rFonts w:ascii="Arial TUR" w:hAnsi="Arial TUR" w:cs="FrankRuehl" w:hint="cs"/>
          <w:spacing w:val="10"/>
          <w:sz w:val="22"/>
          <w:szCs w:val="28"/>
          <w:rtl/>
        </w:rPr>
        <w:t>שנית, יוזכר כי</w:t>
      </w:r>
      <w:r>
        <w:rPr>
          <w:rFonts w:ascii="Arial TUR" w:hAnsi="Arial TUR" w:cs="FrankRuehl" w:hint="cs"/>
          <w:spacing w:val="10"/>
          <w:sz w:val="22"/>
          <w:szCs w:val="28"/>
          <w:rtl/>
        </w:rPr>
        <w:t xml:space="preserve"> בקשר לפרשייה החמישית,</w:t>
      </w:r>
      <w:r w:rsidRPr="007F5756">
        <w:rPr>
          <w:rFonts w:ascii="Arial TUR" w:hAnsi="Arial TUR" w:cs="FrankRuehl" w:hint="cs"/>
          <w:spacing w:val="10"/>
          <w:sz w:val="22"/>
          <w:szCs w:val="28"/>
          <w:rtl/>
        </w:rPr>
        <w:t xml:space="preserve"> בית משפט השלום ובית המשפט המחוזי לא התייחסו לשאלה </w:t>
      </w:r>
      <w:r>
        <w:rPr>
          <w:rFonts w:ascii="Arial TUR" w:hAnsi="Arial TUR" w:cs="FrankRuehl" w:hint="cs"/>
          <w:spacing w:val="10"/>
          <w:sz w:val="22"/>
          <w:szCs w:val="28"/>
          <w:rtl/>
        </w:rPr>
        <w:t>ה</w:t>
      </w:r>
      <w:r w:rsidRPr="007F5756">
        <w:rPr>
          <w:rFonts w:ascii="Arial TUR" w:hAnsi="Arial TUR" w:cs="FrankRuehl" w:hint="cs"/>
          <w:spacing w:val="10"/>
          <w:sz w:val="22"/>
          <w:szCs w:val="28"/>
          <w:rtl/>
        </w:rPr>
        <w:t xml:space="preserve">אם הנשיקה </w:t>
      </w:r>
      <w:r>
        <w:rPr>
          <w:rFonts w:ascii="Arial TUR" w:hAnsi="Arial TUR" w:cs="FrankRuehl" w:hint="cs"/>
          <w:spacing w:val="10"/>
          <w:sz w:val="22"/>
          <w:szCs w:val="28"/>
          <w:rtl/>
        </w:rPr>
        <w:t xml:space="preserve">במעמד </w:t>
      </w:r>
      <w:r w:rsidRPr="007F5756">
        <w:rPr>
          <w:rFonts w:ascii="Arial TUR" w:hAnsi="Arial TUR" w:cs="FrankRuehl" w:hint="cs"/>
          <w:spacing w:val="10"/>
          <w:sz w:val="22"/>
          <w:szCs w:val="28"/>
          <w:rtl/>
        </w:rPr>
        <w:t xml:space="preserve">שיחת החתך הייתה בהסכמה </w:t>
      </w:r>
      <w:r>
        <w:rPr>
          <w:rFonts w:ascii="Arial TUR" w:hAnsi="Arial TUR" w:cs="FrankRuehl" w:hint="cs"/>
          <w:spacing w:val="10"/>
          <w:sz w:val="22"/>
          <w:szCs w:val="28"/>
          <w:rtl/>
        </w:rPr>
        <w:t xml:space="preserve">של השוטרת </w:t>
      </w:r>
      <w:r w:rsidRPr="007F5756">
        <w:rPr>
          <w:rFonts w:ascii="Arial TUR" w:hAnsi="Arial TUR" w:cs="FrankRuehl" w:hint="cs"/>
          <w:spacing w:val="10"/>
          <w:sz w:val="22"/>
          <w:szCs w:val="28"/>
          <w:rtl/>
        </w:rPr>
        <w:t>(כטענת המבקש) או שלא (כטענת המדינה). לצורך ההכרעה ומשלא נקבע אחרת, נניח לטובת המבקש כי התקיימה הסכמה. בשים לב לכך וליתר הקביעות בחוות דעתי, יוצא כי הרשעתו של המבקש ב</w:t>
      </w:r>
      <w:r>
        <w:rPr>
          <w:rFonts w:ascii="Arial TUR" w:hAnsi="Arial TUR" w:cs="FrankRuehl" w:hint="cs"/>
          <w:spacing w:val="10"/>
          <w:sz w:val="22"/>
          <w:szCs w:val="28"/>
          <w:rtl/>
        </w:rPr>
        <w:t xml:space="preserve">עבירה של </w:t>
      </w:r>
      <w:r w:rsidRPr="007F5756">
        <w:rPr>
          <w:rFonts w:ascii="Arial TUR" w:hAnsi="Arial TUR" w:cs="FrankRuehl" w:hint="cs"/>
          <w:spacing w:val="10"/>
          <w:sz w:val="22"/>
          <w:szCs w:val="28"/>
          <w:rtl/>
        </w:rPr>
        <w:t xml:space="preserve">הפרת אמונים מבוססת על התנהלותו בכל שמונה הפרשיות. תוצאה </w:t>
      </w:r>
      <w:r>
        <w:rPr>
          <w:rFonts w:ascii="Arial TUR" w:hAnsi="Arial TUR" w:cs="FrankRuehl" w:hint="cs"/>
          <w:spacing w:val="10"/>
          <w:sz w:val="22"/>
          <w:szCs w:val="28"/>
          <w:rtl/>
        </w:rPr>
        <w:t>זו תואמת את התוצאה</w:t>
      </w:r>
      <w:r w:rsidRPr="007F5756">
        <w:rPr>
          <w:rFonts w:ascii="Arial TUR" w:hAnsi="Arial TUR" w:cs="FrankRuehl" w:hint="cs"/>
          <w:spacing w:val="10"/>
          <w:sz w:val="22"/>
          <w:szCs w:val="28"/>
          <w:rtl/>
        </w:rPr>
        <w:t xml:space="preserve"> </w:t>
      </w:r>
      <w:r>
        <w:rPr>
          <w:rFonts w:ascii="Arial TUR" w:hAnsi="Arial TUR" w:cs="FrankRuehl" w:hint="cs"/>
          <w:spacing w:val="10"/>
          <w:sz w:val="22"/>
          <w:szCs w:val="28"/>
          <w:rtl/>
        </w:rPr>
        <w:t>ש</w:t>
      </w:r>
      <w:r w:rsidRPr="007F5756">
        <w:rPr>
          <w:rFonts w:ascii="Arial TUR" w:hAnsi="Arial TUR" w:cs="FrankRuehl" w:hint="cs"/>
          <w:spacing w:val="10"/>
          <w:sz w:val="22"/>
          <w:szCs w:val="28"/>
          <w:rtl/>
        </w:rPr>
        <w:t>א</w:t>
      </w:r>
      <w:r>
        <w:rPr>
          <w:rFonts w:ascii="Arial TUR" w:hAnsi="Arial TUR" w:cs="FrankRuehl" w:hint="cs"/>
          <w:spacing w:val="10"/>
          <w:sz w:val="22"/>
          <w:szCs w:val="28"/>
          <w:rtl/>
        </w:rPr>
        <w:t>ליה הגיע בית המשפט המחוזי. יוזכר כי</w:t>
      </w:r>
      <w:r w:rsidRPr="007F5756">
        <w:rPr>
          <w:rFonts w:ascii="Arial TUR" w:hAnsi="Arial TUR" w:cs="FrankRuehl" w:hint="cs"/>
          <w:spacing w:val="10"/>
          <w:sz w:val="22"/>
          <w:szCs w:val="28"/>
          <w:rtl/>
        </w:rPr>
        <w:t xml:space="preserve"> בית המשפט המחוזי הרשיע את המבקש גם בעבירה של מעשה מגונה </w:t>
      </w:r>
      <w:r>
        <w:rPr>
          <w:rFonts w:ascii="Arial TUR" w:hAnsi="Arial TUR" w:cs="FrankRuehl" w:hint="cs"/>
          <w:spacing w:val="10"/>
          <w:sz w:val="22"/>
          <w:szCs w:val="28"/>
          <w:rtl/>
        </w:rPr>
        <w:t xml:space="preserve">בפרשייה השישית </w:t>
      </w:r>
      <w:r w:rsidRPr="007F5756">
        <w:rPr>
          <w:rFonts w:ascii="Arial TUR" w:hAnsi="Arial TUR" w:cs="FrankRuehl" w:hint="cs"/>
          <w:spacing w:val="10"/>
          <w:sz w:val="22"/>
          <w:szCs w:val="28"/>
          <w:rtl/>
        </w:rPr>
        <w:t>ו</w:t>
      </w:r>
      <w:r>
        <w:rPr>
          <w:rFonts w:ascii="Arial TUR" w:hAnsi="Arial TUR" w:cs="FrankRuehl" w:hint="cs"/>
          <w:spacing w:val="10"/>
          <w:sz w:val="22"/>
          <w:szCs w:val="28"/>
          <w:rtl/>
        </w:rPr>
        <w:t xml:space="preserve">בעבירה </w:t>
      </w:r>
      <w:r w:rsidRPr="007F5756">
        <w:rPr>
          <w:rFonts w:ascii="Arial TUR" w:hAnsi="Arial TUR" w:cs="FrankRuehl" w:hint="cs"/>
          <w:spacing w:val="10"/>
          <w:sz w:val="22"/>
          <w:szCs w:val="28"/>
          <w:rtl/>
        </w:rPr>
        <w:t>של הטרדה מינית</w:t>
      </w:r>
      <w:r>
        <w:rPr>
          <w:rFonts w:ascii="Arial TUR" w:hAnsi="Arial TUR" w:cs="FrankRuehl" w:hint="cs"/>
          <w:spacing w:val="10"/>
          <w:sz w:val="22"/>
          <w:szCs w:val="28"/>
          <w:rtl/>
        </w:rPr>
        <w:t xml:space="preserve"> בפרשייה השביעית, </w:t>
      </w:r>
      <w:r w:rsidRPr="007F5756">
        <w:rPr>
          <w:rFonts w:ascii="Arial TUR" w:hAnsi="Arial TUR" w:cs="FrankRuehl" w:hint="cs"/>
          <w:spacing w:val="10"/>
          <w:sz w:val="22"/>
          <w:szCs w:val="28"/>
          <w:rtl/>
        </w:rPr>
        <w:t xml:space="preserve">לגביהן לא ניתנה רשות ערעור.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Pr="007F5756" w:rsidRDefault="00D865EA" w:rsidP="00D865EA">
      <w:pPr>
        <w:tabs>
          <w:tab w:val="left" w:pos="800"/>
        </w:tabs>
        <w:spacing w:line="360" w:lineRule="auto"/>
        <w:jc w:val="both"/>
        <w:rPr>
          <w:rFonts w:ascii="Arial TUR" w:hAnsi="Arial TUR" w:cs="FrankRuehl"/>
          <w:spacing w:val="10"/>
          <w:sz w:val="22"/>
          <w:szCs w:val="28"/>
          <w:rtl/>
        </w:rPr>
      </w:pPr>
      <w:r>
        <w:rPr>
          <w:rFonts w:ascii="Arial TUR" w:hAnsi="Arial TUR" w:cs="FrankRuehl" w:hint="cs"/>
          <w:spacing w:val="10"/>
          <w:sz w:val="22"/>
          <w:szCs w:val="28"/>
          <w:rtl/>
        </w:rPr>
        <w:t>29.</w:t>
      </w:r>
      <w:r w:rsidRPr="007F5756">
        <w:rPr>
          <w:rFonts w:ascii="Arial TUR" w:hAnsi="Arial TUR" w:cs="FrankRuehl"/>
          <w:spacing w:val="10"/>
          <w:sz w:val="22"/>
          <w:szCs w:val="28"/>
          <w:rtl/>
        </w:rPr>
        <w:tab/>
      </w:r>
      <w:r w:rsidRPr="007F5756">
        <w:rPr>
          <w:rFonts w:ascii="Arial TUR" w:hAnsi="Arial TUR" w:cs="FrankRuehl" w:hint="cs"/>
          <w:spacing w:val="10"/>
          <w:sz w:val="22"/>
          <w:szCs w:val="28"/>
          <w:rtl/>
        </w:rPr>
        <w:t xml:space="preserve">לגבי העונש, </w:t>
      </w:r>
      <w:r>
        <w:rPr>
          <w:rFonts w:ascii="Arial TUR" w:hAnsi="Arial TUR" w:cs="FrankRuehl" w:hint="cs"/>
          <w:spacing w:val="10"/>
          <w:sz w:val="22"/>
          <w:szCs w:val="28"/>
          <w:rtl/>
        </w:rPr>
        <w:t>כזכור חברי השופט אלרון נתן רשות ערעור אך בשאלה האם ניתן להרשיע את המבקש בעבירה של הפרת אמונים בשל דפוס התנהגות חוזר ונשנה שנהג בו, אף אם כל מעשה כשלעצמו אינו מגבש את העבירה. חברי השיב לשאלה זו בשלילה, וזיכה את המבקש מן האישום בהפרת אמונים. משעשה כן</w:t>
      </w:r>
      <w:r w:rsidRPr="007F5756">
        <w:rPr>
          <w:rFonts w:ascii="Arial TUR" w:hAnsi="Arial TUR" w:cs="FrankRuehl" w:hint="cs"/>
          <w:spacing w:val="10"/>
          <w:sz w:val="22"/>
          <w:szCs w:val="28"/>
          <w:rtl/>
        </w:rPr>
        <w:t xml:space="preserve">, </w:t>
      </w:r>
      <w:r>
        <w:rPr>
          <w:rFonts w:ascii="Arial TUR" w:hAnsi="Arial TUR" w:cs="FrankRuehl" w:hint="cs"/>
          <w:spacing w:val="10"/>
          <w:sz w:val="22"/>
          <w:szCs w:val="28"/>
          <w:rtl/>
        </w:rPr>
        <w:t xml:space="preserve">נפתחה הדלת לשקילה מחדש של העונש </w:t>
      </w:r>
      <w:r>
        <w:rPr>
          <w:rFonts w:ascii="Arial TUR" w:hAnsi="Arial TUR" w:cs="FrankRuehl"/>
          <w:spacing w:val="10"/>
          <w:sz w:val="22"/>
          <w:szCs w:val="28"/>
          <w:rtl/>
        </w:rPr>
        <w:t>–</w:t>
      </w:r>
      <w:r>
        <w:rPr>
          <w:rFonts w:ascii="Arial TUR" w:hAnsi="Arial TUR" w:cs="FrankRuehl" w:hint="cs"/>
          <w:spacing w:val="10"/>
          <w:sz w:val="22"/>
          <w:szCs w:val="28"/>
          <w:rtl/>
        </w:rPr>
        <w:t xml:space="preserve"> וכך נהג. </w:t>
      </w:r>
      <w:r w:rsidRPr="007F5756">
        <w:rPr>
          <w:rFonts w:ascii="Arial TUR" w:hAnsi="Arial TUR" w:cs="FrankRuehl" w:hint="cs"/>
          <w:spacing w:val="10"/>
          <w:sz w:val="22"/>
          <w:szCs w:val="28"/>
          <w:rtl/>
        </w:rPr>
        <w:t xml:space="preserve">ואולם, הואיל ולשיטתי אין להתערב בהרשעתו האמורה של המבקש, ומקום שלא ניתנה רשות ערעור בנוגע לעונש, לא ראיתי להתערב בעונש שנקבע. </w:t>
      </w:r>
    </w:p>
    <w:p w:rsidR="00D865EA" w:rsidRPr="007F5756" w:rsidRDefault="00D865EA" w:rsidP="00D865EA">
      <w:pPr>
        <w:tabs>
          <w:tab w:val="left" w:pos="800"/>
        </w:tabs>
        <w:spacing w:line="360" w:lineRule="auto"/>
        <w:jc w:val="both"/>
        <w:rPr>
          <w:rFonts w:ascii="Arial TUR" w:hAnsi="Arial TUR" w:cs="FrankRuehl"/>
          <w:spacing w:val="10"/>
          <w:sz w:val="22"/>
          <w:szCs w:val="28"/>
          <w:rtl/>
        </w:rPr>
      </w:pPr>
    </w:p>
    <w:p w:rsidR="00D865EA" w:rsidRDefault="00D865EA" w:rsidP="00D865EA">
      <w:pPr>
        <w:tabs>
          <w:tab w:val="left" w:pos="800"/>
        </w:tabs>
        <w:spacing w:line="360" w:lineRule="auto"/>
        <w:jc w:val="both"/>
        <w:rPr>
          <w:rFonts w:ascii="Arial TUR" w:hAnsi="Arial TUR" w:cs="FrankRuehl"/>
          <w:spacing w:val="10"/>
          <w:sz w:val="22"/>
          <w:szCs w:val="28"/>
          <w:rtl/>
        </w:rPr>
      </w:pPr>
      <w:r>
        <w:rPr>
          <w:rFonts w:ascii="Arial TUR" w:hAnsi="Arial TUR" w:cs="FrankRuehl" w:hint="cs"/>
          <w:spacing w:val="10"/>
          <w:sz w:val="22"/>
          <w:szCs w:val="28"/>
          <w:rtl/>
        </w:rPr>
        <w:t>30.</w:t>
      </w:r>
      <w:r w:rsidRPr="007F5756">
        <w:rPr>
          <w:rFonts w:ascii="Arial TUR" w:hAnsi="Arial TUR" w:cs="FrankRuehl"/>
          <w:spacing w:val="10"/>
          <w:sz w:val="22"/>
          <w:szCs w:val="28"/>
          <w:rtl/>
        </w:rPr>
        <w:tab/>
      </w:r>
      <w:r w:rsidRPr="007F5756">
        <w:rPr>
          <w:rFonts w:ascii="Arial TUR" w:hAnsi="Arial TUR" w:cs="FrankRuehl" w:hint="cs"/>
          <w:spacing w:val="10"/>
          <w:sz w:val="22"/>
          <w:szCs w:val="28"/>
          <w:rtl/>
        </w:rPr>
        <w:t xml:space="preserve">טרם סיום, נאמר זאת. </w:t>
      </w:r>
      <w:r>
        <w:rPr>
          <w:rFonts w:ascii="Arial TUR" w:hAnsi="Arial TUR" w:cs="FrankRuehl" w:hint="cs"/>
          <w:spacing w:val="10"/>
          <w:sz w:val="22"/>
          <w:szCs w:val="28"/>
          <w:rtl/>
        </w:rPr>
        <w:t>בפסק הדין</w:t>
      </w:r>
      <w:r w:rsidRPr="007F5756">
        <w:rPr>
          <w:rFonts w:ascii="Arial TUR" w:hAnsi="Arial TUR" w:cs="FrankRuehl" w:hint="cs"/>
          <w:spacing w:val="10"/>
          <w:sz w:val="22"/>
          <w:szCs w:val="28"/>
          <w:rtl/>
        </w:rPr>
        <w:t xml:space="preserve"> הושם דגש על מעשה העבירה. דהיינו, האם יש להתערב בהרשעה בהפרת אמונים, לאור ביסוסה על </w:t>
      </w:r>
      <w:r>
        <w:rPr>
          <w:rFonts w:ascii="Arial TUR" w:hAnsi="Arial TUR" w:cs="FrankRuehl" w:hint="cs"/>
          <w:spacing w:val="10"/>
          <w:sz w:val="22"/>
          <w:szCs w:val="28"/>
          <w:rtl/>
        </w:rPr>
        <w:t>תזת הצבירה</w:t>
      </w:r>
      <w:r w:rsidRPr="007F5756">
        <w:rPr>
          <w:rFonts w:ascii="Arial TUR" w:hAnsi="Arial TUR" w:cs="FrankRuehl" w:hint="cs"/>
          <w:spacing w:val="10"/>
          <w:sz w:val="22"/>
          <w:szCs w:val="28"/>
          <w:rtl/>
        </w:rPr>
        <w:t>. ואולם, קשה להתעלם מהאנשים המעורבים בסיפור. ראשית לכל, השוטרות שנפגעו ממעש</w:t>
      </w:r>
      <w:r>
        <w:rPr>
          <w:rFonts w:ascii="Arial TUR" w:hAnsi="Arial TUR" w:cs="FrankRuehl" w:hint="cs"/>
          <w:spacing w:val="10"/>
          <w:sz w:val="22"/>
          <w:szCs w:val="28"/>
          <w:rtl/>
        </w:rPr>
        <w:t xml:space="preserve">יו של המבקש. </w:t>
      </w:r>
      <w:r w:rsidRPr="007F5756">
        <w:rPr>
          <w:rFonts w:ascii="Arial TUR" w:hAnsi="Arial TUR" w:cs="FrankRuehl" w:hint="cs"/>
          <w:spacing w:val="10"/>
          <w:sz w:val="22"/>
          <w:szCs w:val="28"/>
          <w:rtl/>
        </w:rPr>
        <w:t xml:space="preserve">ושנית, העושה, הוא המבקש. </w:t>
      </w:r>
      <w:r>
        <w:rPr>
          <w:rFonts w:ascii="Arial TUR" w:hAnsi="Arial TUR" w:cs="FrankRuehl" w:hint="cs"/>
          <w:spacing w:val="10"/>
          <w:sz w:val="22"/>
          <w:szCs w:val="28"/>
          <w:rtl/>
        </w:rPr>
        <w:t xml:space="preserve">מהחומר עולה כי הלה קצין משטרה בכיר שתרם רבות לחברה בשירותו בתחומים מקצועיים שונים, וחבל כי אף קצין כזה, בעל מעמד וניסיון, לא הפנים את הפסול שבמעשיו </w:t>
      </w:r>
      <w:r>
        <w:rPr>
          <w:rFonts w:ascii="Arial TUR" w:hAnsi="Arial TUR" w:cs="FrankRuehl"/>
          <w:spacing w:val="10"/>
          <w:sz w:val="22"/>
          <w:szCs w:val="28"/>
          <w:rtl/>
        </w:rPr>
        <w:t>–</w:t>
      </w:r>
      <w:r>
        <w:rPr>
          <w:rFonts w:ascii="Arial TUR" w:hAnsi="Arial TUR" w:cs="FrankRuehl" w:hint="cs"/>
          <w:spacing w:val="10"/>
          <w:sz w:val="22"/>
          <w:szCs w:val="28"/>
          <w:rtl/>
        </w:rPr>
        <w:t xml:space="preserve"> קיום קשרים אינטימיים אסורים עם כפיפות וטיפול בבקשותיהן חרף היותו מצוי במצב של ניגוד עניינים. במובן הזה, המקרה מעורר מחשבה לגבי הצורך בדרכי תיקון. </w:t>
      </w:r>
      <w:r w:rsidRPr="003A0F32">
        <w:rPr>
          <w:rFonts w:ascii="Arial TUR" w:hAnsi="Arial TUR" w:cs="FrankRuehl" w:hint="cs"/>
          <w:spacing w:val="10"/>
          <w:sz w:val="22"/>
          <w:szCs w:val="28"/>
          <w:rtl/>
        </w:rPr>
        <w:t>יש לקוו</w:t>
      </w:r>
      <w:r>
        <w:rPr>
          <w:rFonts w:ascii="Arial TUR" w:hAnsi="Arial TUR" w:cs="FrankRuehl" w:hint="cs"/>
          <w:spacing w:val="10"/>
          <w:sz w:val="22"/>
          <w:szCs w:val="28"/>
          <w:rtl/>
        </w:rPr>
        <w:t>ת כי גם חשיפת הפרשה, ההעמדה לדין ו</w:t>
      </w:r>
      <w:r w:rsidRPr="003A0F32">
        <w:rPr>
          <w:rFonts w:ascii="Arial TUR" w:hAnsi="Arial TUR" w:cs="FrankRuehl" w:hint="cs"/>
          <w:spacing w:val="10"/>
          <w:sz w:val="22"/>
          <w:szCs w:val="28"/>
          <w:rtl/>
        </w:rPr>
        <w:t>תוצאות</w:t>
      </w:r>
      <w:r>
        <w:rPr>
          <w:rFonts w:ascii="Arial TUR" w:hAnsi="Arial TUR" w:cs="FrankRuehl" w:hint="cs"/>
          <w:spacing w:val="10"/>
          <w:sz w:val="22"/>
          <w:szCs w:val="28"/>
          <w:rtl/>
        </w:rPr>
        <w:t xml:space="preserve">יה, </w:t>
      </w:r>
      <w:r w:rsidRPr="003A0F32">
        <w:rPr>
          <w:rFonts w:ascii="Arial TUR" w:hAnsi="Arial TUR" w:cs="FrankRuehl" w:hint="cs"/>
          <w:spacing w:val="10"/>
          <w:sz w:val="22"/>
          <w:szCs w:val="28"/>
          <w:rtl/>
        </w:rPr>
        <w:t xml:space="preserve">יתרמו לכך שמקרים </w:t>
      </w:r>
      <w:r>
        <w:rPr>
          <w:rFonts w:ascii="Arial TUR" w:hAnsi="Arial TUR" w:cs="FrankRuehl" w:hint="cs"/>
          <w:spacing w:val="10"/>
          <w:sz w:val="22"/>
          <w:szCs w:val="28"/>
          <w:rtl/>
        </w:rPr>
        <w:t>כ</w:t>
      </w:r>
      <w:r w:rsidRPr="003A0F32">
        <w:rPr>
          <w:rFonts w:ascii="Arial TUR" w:hAnsi="Arial TUR" w:cs="FrankRuehl" w:hint="cs"/>
          <w:spacing w:val="10"/>
          <w:sz w:val="22"/>
          <w:szCs w:val="28"/>
          <w:rtl/>
        </w:rPr>
        <w:t>אלה לא יישנו ולא ימצאו את מקומם במשטרת ישראל.</w:t>
      </w:r>
    </w:p>
    <w:p w:rsidR="00D865EA" w:rsidRDefault="00D865EA" w:rsidP="00535E77">
      <w:pPr>
        <w:tabs>
          <w:tab w:val="left" w:pos="800"/>
        </w:tabs>
        <w:spacing w:line="360" w:lineRule="auto"/>
        <w:jc w:val="both"/>
        <w:rPr>
          <w:rFonts w:ascii="Arial TUR" w:hAnsi="Arial TUR" w:cs="FrankRuehl"/>
          <w:spacing w:val="10"/>
          <w:sz w:val="22"/>
          <w:szCs w:val="28"/>
          <w:rtl/>
        </w:rPr>
      </w:pPr>
    </w:p>
    <w:p w:rsidR="00D865EA" w:rsidRDefault="00D865EA" w:rsidP="00535E77">
      <w:pPr>
        <w:tabs>
          <w:tab w:val="left" w:pos="800"/>
        </w:tabs>
        <w:spacing w:line="360" w:lineRule="auto"/>
        <w:jc w:val="both"/>
        <w:rPr>
          <w:rFonts w:ascii="Arial TUR" w:hAnsi="Arial TUR"/>
          <w:sz w:val="22"/>
          <w:rtl/>
        </w:rPr>
      </w:pPr>
      <w:r>
        <w:rPr>
          <w:rFonts w:ascii="Arial TUR" w:hAnsi="Arial TUR" w:cs="FrankRuehl" w:hint="cs"/>
          <w:spacing w:val="10"/>
          <w:sz w:val="22"/>
          <w:szCs w:val="28"/>
          <w:rtl/>
        </w:rPr>
        <w:t>31.</w:t>
      </w:r>
      <w:r>
        <w:rPr>
          <w:rFonts w:ascii="Arial TUR" w:hAnsi="Arial TUR" w:cs="FrankRuehl"/>
          <w:spacing w:val="10"/>
          <w:sz w:val="22"/>
          <w:szCs w:val="28"/>
          <w:rtl/>
        </w:rPr>
        <w:tab/>
      </w:r>
      <w:r>
        <w:rPr>
          <w:rFonts w:ascii="Arial TUR" w:hAnsi="Arial TUR" w:cs="FrankRuehl" w:hint="cs"/>
          <w:spacing w:val="10"/>
          <w:sz w:val="22"/>
          <w:szCs w:val="28"/>
          <w:rtl/>
        </w:rPr>
        <w:t xml:space="preserve">סוף דבר: </w:t>
      </w:r>
      <w:r w:rsidR="00535E77">
        <w:rPr>
          <w:rFonts w:ascii="Arial TUR" w:hAnsi="Arial TUR" w:cs="FrankRuehl" w:hint="cs"/>
          <w:spacing w:val="10"/>
          <w:sz w:val="22"/>
          <w:szCs w:val="28"/>
          <w:rtl/>
        </w:rPr>
        <w:t>יש לדון בבקשת רשות הערעור כאילו ניתנה רשות והוגש הערעור על-פיה, ולדחות</w:t>
      </w:r>
      <w:r>
        <w:rPr>
          <w:rFonts w:ascii="Arial TUR" w:hAnsi="Arial TUR" w:cs="FrankRuehl" w:hint="cs"/>
          <w:spacing w:val="10"/>
          <w:sz w:val="22"/>
          <w:szCs w:val="28"/>
          <w:rtl/>
        </w:rPr>
        <w:t xml:space="preserve"> את הערעור.</w:t>
      </w:r>
    </w:p>
    <w:p w:rsidR="00D865EA" w:rsidRDefault="00D865EA" w:rsidP="00D865EA">
      <w:pPr>
        <w:tabs>
          <w:tab w:val="left" w:pos="800"/>
        </w:tabs>
        <w:jc w:val="both"/>
        <w:rPr>
          <w:rFonts w:ascii="Arial TUR" w:hAnsi="Arial TUR"/>
          <w:sz w:val="22"/>
          <w:rtl/>
        </w:rPr>
      </w:pPr>
    </w:p>
    <w:p w:rsidR="00D865EA" w:rsidRDefault="00D865EA" w:rsidP="00D865EA">
      <w:pPr>
        <w:tabs>
          <w:tab w:val="left" w:pos="800"/>
        </w:tabs>
        <w:jc w:val="both"/>
        <w:rPr>
          <w:rFonts w:ascii="Arial TUR" w:hAnsi="Arial TUR"/>
          <w:sz w:val="22"/>
          <w:rtl/>
        </w:rPr>
      </w:pPr>
    </w:p>
    <w:p w:rsidR="00892B63" w:rsidRDefault="00D865EA" w:rsidP="00D865EA">
      <w:pPr>
        <w:tabs>
          <w:tab w:val="left" w:pos="800"/>
        </w:tabs>
        <w:jc w:val="both"/>
        <w:rPr>
          <w:rFonts w:ascii="Arial TUR" w:hAnsi="Arial TUR"/>
          <w:sz w:val="22"/>
          <w:rtl/>
        </w:rPr>
      </w:pPr>
      <w:r>
        <w:rPr>
          <w:rFonts w:ascii="Arial TUR" w:hAnsi="Arial TUR" w:hint="cs"/>
          <w:sz w:val="22"/>
          <w:rtl/>
        </w:rPr>
        <w:t xml:space="preserve">                       </w:t>
      </w:r>
    </w:p>
    <w:p w:rsidR="00892B63" w:rsidRDefault="00892B63" w:rsidP="00D865EA">
      <w:pPr>
        <w:tabs>
          <w:tab w:val="left" w:pos="800"/>
        </w:tabs>
        <w:jc w:val="both"/>
        <w:rPr>
          <w:rFonts w:ascii="Arial TUR" w:hAnsi="Arial TUR"/>
          <w:sz w:val="22"/>
          <w:rtl/>
        </w:rPr>
      </w:pPr>
    </w:p>
    <w:p w:rsidR="00892B63" w:rsidRDefault="00892B63" w:rsidP="00D865EA">
      <w:pPr>
        <w:tabs>
          <w:tab w:val="left" w:pos="800"/>
        </w:tabs>
        <w:jc w:val="both"/>
        <w:rPr>
          <w:rFonts w:ascii="Arial TUR" w:hAnsi="Arial TUR"/>
          <w:sz w:val="22"/>
          <w:rtl/>
        </w:rPr>
      </w:pPr>
    </w:p>
    <w:p w:rsidR="00D865EA" w:rsidRPr="00535E77" w:rsidRDefault="00D865EA" w:rsidP="00535E77">
      <w:pPr>
        <w:tabs>
          <w:tab w:val="left" w:pos="800"/>
        </w:tabs>
        <w:jc w:val="right"/>
        <w:rPr>
          <w:rFonts w:ascii="Century" w:hAnsi="Century" w:cs="FrankRuehl"/>
          <w:spacing w:val="10"/>
          <w:sz w:val="22"/>
          <w:szCs w:val="28"/>
          <w:rtl/>
        </w:rPr>
      </w:pPr>
      <w:r>
        <w:rPr>
          <w:rFonts w:ascii="Arial TUR" w:hAnsi="Arial TUR" w:hint="cs"/>
          <w:sz w:val="22"/>
          <w:rtl/>
        </w:rPr>
        <w:t xml:space="preserve">                                                                            </w:t>
      </w:r>
      <w:r w:rsidRPr="00892B63">
        <w:rPr>
          <w:rFonts w:ascii="Century" w:hAnsi="Century" w:cs="FrankRuehl" w:hint="cs"/>
          <w:spacing w:val="10"/>
          <w:sz w:val="22"/>
          <w:szCs w:val="28"/>
          <w:rtl/>
        </w:rPr>
        <w:t>המשנה לנשיאה</w:t>
      </w:r>
    </w:p>
    <w:p w:rsidR="00D865EA" w:rsidRDefault="00D865EA" w:rsidP="00D865EA">
      <w:pPr>
        <w:tabs>
          <w:tab w:val="left" w:pos="800"/>
        </w:tabs>
        <w:jc w:val="both"/>
        <w:rPr>
          <w:rFonts w:ascii="Arial TUR" w:hAnsi="Arial TUR"/>
          <w:sz w:val="22"/>
          <w:rtl/>
        </w:rPr>
      </w:pPr>
    </w:p>
    <w:p w:rsidR="00D865EA" w:rsidRDefault="00D865EA" w:rsidP="00D865EA">
      <w:pPr>
        <w:pStyle w:val="BODYVERDICT"/>
        <w:rPr>
          <w:rFonts w:cs="Miriam"/>
          <w:sz w:val="24"/>
          <w:szCs w:val="24"/>
          <w:u w:val="single"/>
          <w:rtl/>
        </w:rPr>
      </w:pPr>
      <w:r>
        <w:rPr>
          <w:rFonts w:cs="Miriam"/>
          <w:sz w:val="24"/>
          <w:szCs w:val="24"/>
          <w:u w:val="single"/>
          <w:rtl/>
        </w:rPr>
        <w:t>השופטת י' וילנר:</w:t>
      </w:r>
    </w:p>
    <w:p w:rsidR="00D865EA" w:rsidRDefault="00D865EA" w:rsidP="00D865EA">
      <w:pPr>
        <w:pStyle w:val="Ruller40"/>
      </w:pPr>
    </w:p>
    <w:p w:rsidR="00D865EA" w:rsidRDefault="00D865EA" w:rsidP="00D865EA">
      <w:pPr>
        <w:pStyle w:val="Ruller40"/>
        <w:rPr>
          <w:rFonts w:ascii="Century" w:hAnsi="Century"/>
          <w:rtl/>
        </w:rPr>
      </w:pPr>
      <w:r>
        <w:rPr>
          <w:rtl/>
        </w:rPr>
        <w:t>1.</w:t>
      </w:r>
      <w:r>
        <w:rPr>
          <w:rtl/>
        </w:rPr>
        <w:tab/>
      </w:r>
      <w:r>
        <w:rPr>
          <w:rFonts w:ascii="Century" w:hAnsi="Century"/>
          <w:rtl/>
        </w:rPr>
        <w:t xml:space="preserve">לאחר שעיינתי בחוות הדעת של חבריי, המשנה לנשיאה </w:t>
      </w:r>
      <w:r>
        <w:rPr>
          <w:rFonts w:ascii="Century" w:hAnsi="Century" w:cs="Miriam" w:hint="cs"/>
          <w:b/>
          <w:spacing w:val="0"/>
          <w:szCs w:val="24"/>
          <w:rtl/>
        </w:rPr>
        <w:t>נ' הנדל</w:t>
      </w:r>
      <w:r>
        <w:rPr>
          <w:rFonts w:ascii="Century" w:hAnsi="Century"/>
          <w:rtl/>
        </w:rPr>
        <w:t xml:space="preserve"> והשופט </w:t>
      </w:r>
      <w:r>
        <w:rPr>
          <w:rFonts w:ascii="Century" w:hAnsi="Century" w:cs="Miriam" w:hint="cs"/>
          <w:b/>
          <w:spacing w:val="0"/>
          <w:szCs w:val="24"/>
          <w:rtl/>
        </w:rPr>
        <w:t>י' אלרון</w:t>
      </w:r>
      <w:r>
        <w:rPr>
          <w:rFonts w:ascii="Century" w:hAnsi="Century"/>
          <w:rtl/>
        </w:rPr>
        <w:t xml:space="preserve">, אני מצטרפת לחוות דעתו של המשנה לנשיאה ולמסקנתו, שלפיה מעשה של הפרת אמונים יכול להתבטא בחזרה שיטתית ומתמשכת על פעולות פסולות שביצע עובד הציבור במסגרת תפקידו, ואשר הצטברותן מובילה לפגיעה מהותית בערכים שביסוד העבירה, וזאת אף אם כל פעולה כשלעצמה אינה חוצה את הרף הפלילי. </w:t>
      </w:r>
    </w:p>
    <w:p w:rsidR="00D865EA" w:rsidRDefault="00D865EA" w:rsidP="00D865EA">
      <w:pPr>
        <w:pStyle w:val="Ruller40"/>
        <w:rPr>
          <w:rFonts w:ascii="Century" w:hAnsi="Century"/>
          <w:rtl/>
        </w:rPr>
      </w:pPr>
      <w:r>
        <w:rPr>
          <w:rFonts w:ascii="Century" w:hAnsi="Century"/>
          <w:rtl/>
        </w:rPr>
        <w:tab/>
      </w:r>
    </w:p>
    <w:p w:rsidR="00D865EA" w:rsidRDefault="00D865EA" w:rsidP="00D865EA">
      <w:pPr>
        <w:pStyle w:val="Ruller40"/>
        <w:rPr>
          <w:rFonts w:ascii="Century" w:hAnsi="Century"/>
          <w:rtl/>
        </w:rPr>
      </w:pPr>
      <w:r>
        <w:rPr>
          <w:rFonts w:ascii="Century" w:hAnsi="Century"/>
          <w:rtl/>
        </w:rPr>
        <w:t xml:space="preserve">אבקש להוסיף בתמצית מספר הערות. </w:t>
      </w:r>
    </w:p>
    <w:p w:rsidR="00D865EA" w:rsidRDefault="00D865EA" w:rsidP="00D865EA">
      <w:pPr>
        <w:pStyle w:val="Ruller40"/>
        <w:rPr>
          <w:rFonts w:ascii="Century" w:hAnsi="Century"/>
          <w:rtl/>
        </w:rPr>
      </w:pPr>
    </w:p>
    <w:p w:rsidR="00D865EA" w:rsidRDefault="00D865EA" w:rsidP="00D865EA">
      <w:pPr>
        <w:pStyle w:val="Ruller40"/>
        <w:rPr>
          <w:rtl/>
        </w:rPr>
      </w:pPr>
      <w:r>
        <w:rPr>
          <w:rFonts w:ascii="Century" w:hAnsi="Century"/>
          <w:rtl/>
        </w:rPr>
        <w:t>2.</w:t>
      </w:r>
      <w:r>
        <w:rPr>
          <w:rFonts w:ascii="Century" w:hAnsi="Century"/>
          <w:rtl/>
        </w:rPr>
        <w:tab/>
        <w:t>הביקורת התיאורטית על הצבירה במשפט (</w:t>
      </w:r>
      <w:proofErr w:type="spellStart"/>
      <w:r>
        <w:rPr>
          <w:rFonts w:ascii="Century" w:hAnsi="Century"/>
          <w:rtl/>
        </w:rPr>
        <w:t>אגרגציה</w:t>
      </w:r>
      <w:proofErr w:type="spellEnd"/>
      <w:r>
        <w:rPr>
          <w:rFonts w:ascii="Century" w:hAnsi="Century"/>
          <w:rtl/>
        </w:rPr>
        <w:t xml:space="preserve"> שיפוטית) נדונה בספרות בהרחבה (וראו: זמר </w:t>
      </w:r>
      <w:proofErr w:type="spellStart"/>
      <w:r>
        <w:rPr>
          <w:rFonts w:ascii="Century" w:hAnsi="Century"/>
          <w:rtl/>
        </w:rPr>
        <w:t>בלונדהיים</w:t>
      </w:r>
      <w:proofErr w:type="spellEnd"/>
      <w:r>
        <w:rPr>
          <w:rFonts w:ascii="Century" w:hAnsi="Century"/>
          <w:rtl/>
        </w:rPr>
        <w:t xml:space="preserve"> ונדיב מרדכי "לקראת דוקטרינת אפקט מצטבר: </w:t>
      </w:r>
      <w:proofErr w:type="spellStart"/>
      <w:r>
        <w:rPr>
          <w:rFonts w:ascii="Century" w:hAnsi="Century"/>
          <w:rtl/>
        </w:rPr>
        <w:t>אגרגציה</w:t>
      </w:r>
      <w:proofErr w:type="spellEnd"/>
      <w:r>
        <w:rPr>
          <w:rFonts w:ascii="Century" w:hAnsi="Century"/>
          <w:rtl/>
        </w:rPr>
        <w:t xml:space="preserve"> בביקורת שיפוטית חוקתית" </w:t>
      </w:r>
      <w:r>
        <w:rPr>
          <w:rFonts w:ascii="Century" w:hAnsi="Century" w:cs="Miriam" w:hint="cs"/>
          <w:b/>
          <w:spacing w:val="0"/>
          <w:szCs w:val="24"/>
          <w:rtl/>
        </w:rPr>
        <w:t>משפטים</w:t>
      </w:r>
      <w:r>
        <w:rPr>
          <w:rFonts w:ascii="Century" w:hAnsi="Century"/>
          <w:rtl/>
        </w:rPr>
        <w:t xml:space="preserve"> מד 569, 595-591 וההפניות שם (2018)). </w:t>
      </w:r>
      <w:r>
        <w:rPr>
          <w:rtl/>
        </w:rPr>
        <w:t xml:space="preserve">בין היתר, נטען כי קיים קושי לצבור יסודות או מעשים שאינם ברי השוואה, וכי שימוש בצבירה שיפוטית עלול להביא לפגיעה בוודאות ובבהירות הנורמטיבית. </w:t>
      </w:r>
    </w:p>
    <w:p w:rsidR="00D865EA" w:rsidRDefault="00D865EA" w:rsidP="00D865EA">
      <w:pPr>
        <w:pStyle w:val="Ruller40"/>
        <w:rPr>
          <w:rtl/>
        </w:rPr>
      </w:pPr>
    </w:p>
    <w:p w:rsidR="00D865EA" w:rsidRDefault="00D865EA" w:rsidP="00D865EA">
      <w:pPr>
        <w:pStyle w:val="Ruller40"/>
        <w:rPr>
          <w:rtl/>
        </w:rPr>
      </w:pPr>
      <w:r>
        <w:rPr>
          <w:rtl/>
        </w:rPr>
        <w:t>3.</w:t>
      </w:r>
      <w:r>
        <w:rPr>
          <w:rtl/>
        </w:rPr>
        <w:tab/>
        <w:t xml:space="preserve">ואמנם, אין לכחד כי השאיפה החשובה לייצר ודאות משפטית, המבוססת בדרך כלל על היצמדות לכללים ברורים ובהירים, גוברת ככל שאנו עוסקים בגבולותיו של המשפט הפלילי, אשר אחד מעקרונותיו הבסיסיים הוא עיקרון החוקיות. משכך, נראה כי השימוש בצבירה שיפוטית בכל הנוגע לעבירות פליליות צריך להיעשות במשורה ותוך קביעת אמות מידה ברורות לנסיבות שבהן תיושם פרקטיקה זו. </w:t>
      </w:r>
    </w:p>
    <w:p w:rsidR="00D865EA" w:rsidRDefault="00D865EA" w:rsidP="00D865EA">
      <w:pPr>
        <w:pStyle w:val="Ruller40"/>
        <w:rPr>
          <w:rtl/>
        </w:rPr>
      </w:pPr>
    </w:p>
    <w:p w:rsidR="00D865EA" w:rsidRDefault="00D865EA" w:rsidP="00D865EA">
      <w:pPr>
        <w:pStyle w:val="Ruller40"/>
        <w:rPr>
          <w:rtl/>
        </w:rPr>
      </w:pPr>
      <w:r>
        <w:rPr>
          <w:rFonts w:ascii="Century" w:hAnsi="Century"/>
          <w:rtl/>
        </w:rPr>
        <w:tab/>
      </w:r>
      <w:proofErr w:type="spellStart"/>
      <w:r>
        <w:rPr>
          <w:rFonts w:ascii="Century" w:hAnsi="Century"/>
          <w:rtl/>
        </w:rPr>
        <w:t>ודוקו</w:t>
      </w:r>
      <w:proofErr w:type="spellEnd"/>
      <w:r>
        <w:rPr>
          <w:rFonts w:ascii="Century" w:hAnsi="Century"/>
          <w:rtl/>
        </w:rPr>
        <w:t xml:space="preserve">, במקרים שבהם ניתן להשוות בין הפעולות השונות הנדונות, וכאשר מדובר בעבירות שעל-פי טיבן ולשם הגשמת תכליתן, ניתן לנקוט בצבירה השיפוטית - יהיה זה ראוי לעשות כן. כך, לגישתי, ניתן לדמות את </w:t>
      </w:r>
      <w:proofErr w:type="spellStart"/>
      <w:r>
        <w:rPr>
          <w:rFonts w:ascii="Century" w:hAnsi="Century"/>
          <w:rtl/>
        </w:rPr>
        <w:t>פרקטיקת</w:t>
      </w:r>
      <w:proofErr w:type="spellEnd"/>
      <w:r>
        <w:rPr>
          <w:rFonts w:ascii="Century" w:hAnsi="Century"/>
          <w:rtl/>
        </w:rPr>
        <w:t xml:space="preserve"> הצבירה השיפוטית למגדל קוביות מאותו סוג, הנערמות זו על גבי זו. ברי אמנם כי קובייה אחת איננה מגדל, וככל הנראה אף בשתי קוביות לא די על מנת שיכונו מגדל. ואולם, עם הנחתה של הקובייה העשירית על גבי תשע הקודמות לה, נדמה כי לא יהא עוד חולק כי </w:t>
      </w:r>
      <w:r>
        <w:rPr>
          <w:rFonts w:ascii="Century" w:hAnsi="Century" w:cs="Miriam" w:hint="cs"/>
          <w:b/>
          <w:spacing w:val="0"/>
          <w:szCs w:val="24"/>
          <w:rtl/>
        </w:rPr>
        <w:t>כל הקוביות</w:t>
      </w:r>
      <w:r>
        <w:rPr>
          <w:rFonts w:ascii="Century" w:hAnsi="Century"/>
          <w:rtl/>
        </w:rPr>
        <w:t xml:space="preserve"> העומדות זו על גבי זו, תומכות זו בזו – אכן מהוות מגדל – הראשונה והעשירית כאחת. בדומה לכך, ובנסיבות המתאימות, ריבוי מעשים פסולים הנצברים לכדי עבירה פלילית אחת נסמכים זה על זה, כך שכל מעשה ומעשה מכתים אף את קודמיו, והצטברותם יחד היא-היא אשר מצדיקה הטלת אחריות פלילית, בבחינת סופם של הדברים מעיד על תחילתם. לא מדובר, אם כן, ב"יצירת אחריות פלילית יש מאין", כדברי חברי השופט </w:t>
      </w:r>
      <w:r>
        <w:rPr>
          <w:rFonts w:ascii="Century" w:hAnsi="Century" w:cs="Miriam" w:hint="cs"/>
          <w:b/>
          <w:spacing w:val="0"/>
          <w:szCs w:val="24"/>
          <w:rtl/>
        </w:rPr>
        <w:lastRenderedPageBreak/>
        <w:t>אלרון</w:t>
      </w:r>
      <w:r>
        <w:rPr>
          <w:rFonts w:ascii="Century" w:hAnsi="Century"/>
          <w:rtl/>
        </w:rPr>
        <w:t xml:space="preserve"> (בפסקה 41 לחוות דעתו), אלא באחריות פלילית שהיא סך כל חלקיה – הפסולים כשלעצמם, אף אם אינם מגיעים כדי עבירה פלילית לבדם.</w:t>
      </w:r>
    </w:p>
    <w:p w:rsidR="00D865EA" w:rsidRDefault="00D865EA" w:rsidP="00D865EA">
      <w:pPr>
        <w:pStyle w:val="Ruller40"/>
        <w:rPr>
          <w:rtl/>
        </w:rPr>
      </w:pPr>
    </w:p>
    <w:p w:rsidR="00D865EA" w:rsidRDefault="00D865EA" w:rsidP="00D865EA">
      <w:pPr>
        <w:pStyle w:val="Ruller40"/>
        <w:rPr>
          <w:rtl/>
        </w:rPr>
      </w:pPr>
      <w:r>
        <w:rPr>
          <w:rtl/>
        </w:rPr>
        <w:t>4.</w:t>
      </w:r>
      <w:r>
        <w:rPr>
          <w:rtl/>
        </w:rPr>
        <w:tab/>
        <w:t xml:space="preserve">אני סבורה כי הדברים האמורים באשר לצבירה השיפוטית נכונים אף ביחס לעבירת הפרת האמונים – שהיא אחת מאותן עבירות שבהן ניתן ליישם בנסיבות המתאימות פרקטיקה של צבירה שיפוטית, ולהשקיף, בהתאם לאמות המידה שנקבעו בפסיקה ובחוות דעתו של המשנה לנשיאה, על צבר של פעולות, שאינן פליליות כל אחת כשלעצמה, כמעשה פלילי אחד. </w:t>
      </w:r>
    </w:p>
    <w:p w:rsidR="00D865EA" w:rsidRDefault="00D865EA" w:rsidP="00D865EA">
      <w:pPr>
        <w:pStyle w:val="Ruller40"/>
        <w:rPr>
          <w:rtl/>
        </w:rPr>
      </w:pPr>
    </w:p>
    <w:p w:rsidR="00D865EA" w:rsidRDefault="00D865EA" w:rsidP="00D865EA">
      <w:pPr>
        <w:pStyle w:val="Ruller40"/>
        <w:rPr>
          <w:rtl/>
        </w:rPr>
      </w:pPr>
      <w:r>
        <w:rPr>
          <w:rtl/>
        </w:rPr>
        <w:t>5.</w:t>
      </w:r>
      <w:r>
        <w:rPr>
          <w:rtl/>
        </w:rPr>
        <w:tab/>
        <w:t xml:space="preserve">בהקשר זה אבקש להבהיר כי איני שותפה לחשש שלפיו יישום פרקטיקה של צבירה שיפוטית בעניינה של עבירת הפרת האמונים יוביל לכך שניתן יהיה להעמיד לדין עובדי ציבור רבים בגין צבירה </w:t>
      </w:r>
      <w:r>
        <w:rPr>
          <w:rFonts w:ascii="Century" w:hAnsi="Century" w:cs="Miriam" w:hint="cs"/>
          <w:b/>
          <w:spacing w:val="0"/>
          <w:szCs w:val="24"/>
          <w:rtl/>
        </w:rPr>
        <w:t>אקראית</w:t>
      </w:r>
      <w:r>
        <w:rPr>
          <w:rtl/>
        </w:rPr>
        <w:t xml:space="preserve"> של פעולות שונות, שהפסול בכל אחת מהן כשלעצמה הוא זניח. בענייננו, לא נטען, ואף לא נקבע, כי ניתן לצבור יחד </w:t>
      </w:r>
      <w:r>
        <w:rPr>
          <w:rFonts w:ascii="Century" w:hAnsi="Century" w:cs="Miriam" w:hint="cs"/>
          <w:b/>
          <w:spacing w:val="0"/>
          <w:szCs w:val="24"/>
          <w:rtl/>
        </w:rPr>
        <w:t>כל</w:t>
      </w:r>
      <w:r>
        <w:rPr>
          <w:rtl/>
        </w:rPr>
        <w:t xml:space="preserve"> פעולה הפסולה על-פי הדין המשמעתי לפעולה אחרת הפסולה על-פי הדין המשמעתי ללא קשר ביניהן, וכי העמדה לדין פלילי תתאפשר כל אימת שיימצא כי עובד ציבור צבר יותר מעבירה משמעתית אחת. כל שנקבע בחוות דעתו של חברי, המשנה לנשיאה, אליה כאמור אני מצטרפת, הוא כי כאשר הפעולות הנדונות הן רצף של עבירות משמעת שמבטאות </w:t>
      </w:r>
      <w:r>
        <w:rPr>
          <w:rFonts w:ascii="Century" w:hAnsi="Century" w:cs="Miriam" w:hint="cs"/>
          <w:b/>
          <w:spacing w:val="0"/>
          <w:szCs w:val="24"/>
          <w:rtl/>
        </w:rPr>
        <w:t>שיטה</w:t>
      </w:r>
      <w:r>
        <w:rPr>
          <w:rtl/>
        </w:rPr>
        <w:t xml:space="preserve"> </w:t>
      </w:r>
      <w:r>
        <w:rPr>
          <w:rFonts w:ascii="Century" w:hAnsi="Century" w:cs="Miriam" w:hint="cs"/>
          <w:b/>
          <w:spacing w:val="0"/>
          <w:szCs w:val="24"/>
          <w:rtl/>
        </w:rPr>
        <w:t>אחת</w:t>
      </w:r>
      <w:r>
        <w:rPr>
          <w:rtl/>
        </w:rPr>
        <w:t xml:space="preserve"> של עובד הציבור שיש בה כדי לפגוע </w:t>
      </w:r>
      <w:r>
        <w:rPr>
          <w:rFonts w:ascii="Century" w:hAnsi="Century" w:cs="Miriam" w:hint="cs"/>
          <w:b/>
          <w:spacing w:val="0"/>
          <w:szCs w:val="24"/>
          <w:rtl/>
        </w:rPr>
        <w:t>באותו</w:t>
      </w:r>
      <w:r>
        <w:rPr>
          <w:rtl/>
        </w:rPr>
        <w:t xml:space="preserve"> </w:t>
      </w:r>
      <w:r>
        <w:rPr>
          <w:rFonts w:ascii="Century" w:hAnsi="Century" w:cs="Miriam" w:hint="cs"/>
          <w:b/>
          <w:spacing w:val="0"/>
          <w:szCs w:val="24"/>
          <w:rtl/>
        </w:rPr>
        <w:t>האופן</w:t>
      </w:r>
      <w:r>
        <w:rPr>
          <w:rtl/>
        </w:rPr>
        <w:t xml:space="preserve"> באינטרסים המוגנים על-ידי העבירה, יהיה ניתן להתייחס אליהן כמכלול וכמעשה אחד העולה כדי הפרת אמונים. קביעה מתוחמת זו, אשר כוללת אף את מבחני המשנה המנחים שקבע המשנה לנשיאה בחוות דעתו (ראו בפסקה 16), מגשימה את תכליותיה של עבירת הפרת האמונים מבלי לפגוע בעיקרון החוקיות ומבלי להגביר את העמימות המסוימת הנלווית לעבירה זו מעצם היותה "עבירת סל".  </w:t>
      </w:r>
    </w:p>
    <w:p w:rsidR="00D865EA" w:rsidRDefault="00D865EA" w:rsidP="00D865EA">
      <w:pPr>
        <w:pStyle w:val="Ruller40"/>
        <w:rPr>
          <w:rtl/>
        </w:rPr>
      </w:pPr>
    </w:p>
    <w:p w:rsidR="00D865EA" w:rsidRDefault="00D865EA" w:rsidP="00D865EA">
      <w:pPr>
        <w:pStyle w:val="Ruller40"/>
        <w:rPr>
          <w:rtl/>
        </w:rPr>
      </w:pPr>
      <w:r>
        <w:rPr>
          <w:rtl/>
        </w:rPr>
        <w:t>6.</w:t>
      </w:r>
      <w:r>
        <w:rPr>
          <w:rtl/>
        </w:rPr>
        <w:tab/>
        <w:t xml:space="preserve">על רקע זה, יש לדחות את טענת המבקש שלפיה פעולותיו הן פעולות נפרדות, נעדרות קשר מהותי ביניהן, אשר ממוקדות בענייניהן של </w:t>
      </w:r>
      <w:r>
        <w:rPr>
          <w:rFonts w:ascii="Century" w:hAnsi="Century" w:cs="Miriam" w:hint="cs"/>
          <w:b/>
          <w:spacing w:val="0"/>
          <w:szCs w:val="24"/>
          <w:rtl/>
        </w:rPr>
        <w:t>שוטרות שונות</w:t>
      </w:r>
      <w:r>
        <w:rPr>
          <w:rtl/>
        </w:rPr>
        <w:t>, ולפיכך צבירתן לכדי מעשה אחד היא שרירותית, אבהיר:</w:t>
      </w:r>
    </w:p>
    <w:p w:rsidR="00D865EA" w:rsidRDefault="00D865EA" w:rsidP="00D865EA">
      <w:pPr>
        <w:pStyle w:val="Ruller40"/>
        <w:rPr>
          <w:rtl/>
        </w:rPr>
      </w:pPr>
    </w:p>
    <w:p w:rsidR="00D865EA" w:rsidRDefault="00D865EA" w:rsidP="00D865EA">
      <w:pPr>
        <w:pStyle w:val="Ruller40"/>
        <w:rPr>
          <w:rtl/>
        </w:rPr>
      </w:pPr>
      <w:r>
        <w:rPr>
          <w:rtl/>
        </w:rPr>
        <w:tab/>
        <w:t xml:space="preserve">כפי שציין המשנה לנשיאה, עבירות ההתעללות וההטרדה הן דוגמאות נוספות לעבירות פליליות שבהן ייתכן יישום של צבירה שיפוטית. בעבירות אלו הערך המוגן העיקרי הוא הגנה על </w:t>
      </w:r>
      <w:r>
        <w:rPr>
          <w:rFonts w:ascii="Century" w:hAnsi="Century" w:cs="Miriam" w:hint="cs"/>
          <w:b/>
          <w:spacing w:val="0"/>
          <w:szCs w:val="24"/>
          <w:rtl/>
        </w:rPr>
        <w:t>קרבן העבירה</w:t>
      </w:r>
      <w:r>
        <w:rPr>
          <w:rtl/>
        </w:rPr>
        <w:t xml:space="preserve"> מפני מעשים העולים כדי התעללות או הטרדה, ומשכך צבירת הפעולות לכדי מעשה אחד תתאפשר, ככלל, כאשר הן מכוונות כלפי </w:t>
      </w:r>
      <w:r>
        <w:rPr>
          <w:rFonts w:ascii="Century" w:hAnsi="Century" w:cs="Miriam" w:hint="cs"/>
          <w:b/>
          <w:spacing w:val="0"/>
          <w:szCs w:val="24"/>
          <w:rtl/>
        </w:rPr>
        <w:t>אותו אדם</w:t>
      </w:r>
      <w:r>
        <w:rPr>
          <w:rtl/>
        </w:rPr>
        <w:t xml:space="preserve">. כך, לדוגמה, לא תתאפשר צבירה של פעולות העלולות לעלות כדי התעללות שעשה פלוני מידי יום בקטין </w:t>
      </w:r>
      <w:r>
        <w:rPr>
          <w:rFonts w:ascii="Century" w:hAnsi="Century" w:cs="Miriam" w:hint="cs"/>
          <w:b/>
          <w:spacing w:val="0"/>
          <w:szCs w:val="24"/>
          <w:rtl/>
        </w:rPr>
        <w:t>אחר</w:t>
      </w:r>
      <w:r>
        <w:rPr>
          <w:rFonts w:ascii="Century" w:hAnsi="Century"/>
          <w:rtl/>
        </w:rPr>
        <w:t xml:space="preserve">, </w:t>
      </w:r>
      <w:r>
        <w:rPr>
          <w:rtl/>
        </w:rPr>
        <w:t xml:space="preserve">ואולם אם המעשים יכוונו באופן שיטתי כלפי </w:t>
      </w:r>
      <w:r>
        <w:rPr>
          <w:rFonts w:ascii="Century" w:hAnsi="Century" w:cs="Miriam" w:hint="cs"/>
          <w:b/>
          <w:spacing w:val="0"/>
          <w:szCs w:val="24"/>
          <w:rtl/>
        </w:rPr>
        <w:t>אותו</w:t>
      </w:r>
      <w:r>
        <w:rPr>
          <w:rtl/>
        </w:rPr>
        <w:t xml:space="preserve"> קטין –</w:t>
      </w:r>
      <w:r>
        <w:rPr>
          <w:rtl/>
        </w:rPr>
        <w:lastRenderedPageBreak/>
        <w:t xml:space="preserve">ניתן יהיה לצבור פעולות אלה באופן שיעלה כדי עבירת ההתעללות, וזאת לנוכח הערך המוגן על-ידי העבירה: הגנה על </w:t>
      </w:r>
      <w:r>
        <w:rPr>
          <w:rFonts w:ascii="Century" w:hAnsi="Century" w:cs="Miriam" w:hint="cs"/>
          <w:b/>
          <w:spacing w:val="0"/>
          <w:szCs w:val="24"/>
          <w:rtl/>
        </w:rPr>
        <w:t>קרבן העבירה</w:t>
      </w:r>
      <w:r>
        <w:rPr>
          <w:rtl/>
        </w:rPr>
        <w:t xml:space="preserve"> מפני ביזוי, השפלה או דיכוי. </w:t>
      </w:r>
    </w:p>
    <w:p w:rsidR="00D865EA" w:rsidRDefault="00D865EA" w:rsidP="00D865EA">
      <w:pPr>
        <w:pStyle w:val="Ruller40"/>
        <w:rPr>
          <w:rtl/>
        </w:rPr>
      </w:pPr>
    </w:p>
    <w:p w:rsidR="00D865EA" w:rsidRDefault="00D865EA" w:rsidP="00D865EA">
      <w:pPr>
        <w:pStyle w:val="Ruller40"/>
        <w:rPr>
          <w:rtl/>
        </w:rPr>
      </w:pPr>
      <w:r>
        <w:rPr>
          <w:rtl/>
        </w:rPr>
        <w:tab/>
        <w:t xml:space="preserve">בעבירת הפרת האמונים, לעומת זאת, הערכים המוגנים נוגעים להגנה על </w:t>
      </w:r>
      <w:r>
        <w:rPr>
          <w:rFonts w:ascii="Century" w:hAnsi="Century" w:cs="Miriam" w:hint="cs"/>
          <w:b/>
          <w:spacing w:val="0"/>
          <w:szCs w:val="24"/>
          <w:rtl/>
        </w:rPr>
        <w:t>הציבור</w:t>
      </w:r>
      <w:r>
        <w:rPr>
          <w:rtl/>
        </w:rPr>
        <w:t xml:space="preserve">. משכך, העובדה שהמבקש העמיד עצמו במצב של ניגוד עניינים בעניינן של שוטרות </w:t>
      </w:r>
      <w:r>
        <w:rPr>
          <w:rFonts w:ascii="Century" w:hAnsi="Century" w:cs="Miriam" w:hint="cs"/>
          <w:b/>
          <w:spacing w:val="0"/>
          <w:szCs w:val="24"/>
          <w:rtl/>
        </w:rPr>
        <w:t>שונות</w:t>
      </w:r>
      <w:r>
        <w:rPr>
          <w:rtl/>
        </w:rPr>
        <w:t xml:space="preserve"> בכל אחת מהפרשיות הנדונות בענייננו אינה מעלה ואינה מורידה, שכן בכל אחד מהמקרים האמורים "קורבן העבירה" הוא </w:t>
      </w:r>
      <w:r>
        <w:rPr>
          <w:rFonts w:ascii="Century" w:hAnsi="Century" w:cs="Miriam" w:hint="cs"/>
          <w:b/>
          <w:spacing w:val="0"/>
          <w:szCs w:val="24"/>
          <w:rtl/>
        </w:rPr>
        <w:t>הציבור</w:t>
      </w:r>
      <w:r>
        <w:rPr>
          <w:rtl/>
        </w:rPr>
        <w:t xml:space="preserve">, שעליו נועדה העבירה להגן. אכן, "הציבור", "אמון הציבור" ו"תקינות </w:t>
      </w:r>
      <w:proofErr w:type="spellStart"/>
      <w:r>
        <w:rPr>
          <w:rtl/>
        </w:rPr>
        <w:t>המינהל</w:t>
      </w:r>
      <w:proofErr w:type="spellEnd"/>
      <w:r>
        <w:rPr>
          <w:rtl/>
        </w:rPr>
        <w:t xml:space="preserve">" הם מושגים מופשטים, נעדרי פנים, ואינם מהווים קרבנות עבירה קלאסיים. ואולם, בכל פעם, מבין הפעמים הרבות, שבהן קיבל המבקש החלטה או ביצע פעולה לטובת ענייניה של שוטרת עמה הוא קיים יחסים בעלי אופי מיני או רומנטי, הוא פגע בכלל הציבור בישראל – אשר שם מבטחו במשטרת ישראל ובהתנהלותה התקינה. </w:t>
      </w:r>
    </w:p>
    <w:p w:rsidR="00D865EA" w:rsidRDefault="00D865EA" w:rsidP="00D865EA">
      <w:pPr>
        <w:pStyle w:val="Ruller40"/>
        <w:rPr>
          <w:rtl/>
        </w:rPr>
      </w:pPr>
    </w:p>
    <w:p w:rsidR="00D865EA" w:rsidRDefault="00D865EA" w:rsidP="00D865EA">
      <w:pPr>
        <w:pStyle w:val="Ruller40"/>
        <w:rPr>
          <w:rFonts w:ascii="Century" w:hAnsi="Century"/>
          <w:rtl/>
        </w:rPr>
      </w:pPr>
      <w:r>
        <w:rPr>
          <w:rFonts w:ascii="Century" w:hAnsi="Century"/>
          <w:rtl/>
        </w:rPr>
        <w:t>7.</w:t>
      </w:r>
      <w:r>
        <w:rPr>
          <w:rFonts w:ascii="Century" w:hAnsi="Century"/>
          <w:rtl/>
        </w:rPr>
        <w:tab/>
        <w:t xml:space="preserve">אסכם ואומר כי המעשים המתוארים אשר ביצע המבקש – מרום תפקידו – בהיותו אמון על שמירת החוק, פגעו גם פגעו באמון הציבור, בתפקיד אותו הוא ממלא, ובמערכת אכיפת החוק שאותה הוא מייצג. מעשים אלה הם בליבת עבירת הפרת האמונים. </w:t>
      </w:r>
    </w:p>
    <w:p w:rsidR="00D865EA" w:rsidRDefault="00D865EA" w:rsidP="00D865EA">
      <w:pPr>
        <w:pStyle w:val="Ruller40"/>
        <w:rPr>
          <w:rFonts w:ascii="Century" w:hAnsi="Century"/>
          <w:rtl/>
        </w:rPr>
      </w:pPr>
    </w:p>
    <w:p w:rsidR="00D865EA" w:rsidRDefault="00D865EA" w:rsidP="00D865EA">
      <w:pPr>
        <w:pStyle w:val="Ruller40"/>
        <w:rPr>
          <w:rFonts w:ascii="Century" w:hAnsi="Century"/>
          <w:rtl/>
        </w:rPr>
      </w:pPr>
      <w:r>
        <w:rPr>
          <w:rFonts w:ascii="Century" w:hAnsi="Century"/>
          <w:rtl/>
        </w:rPr>
        <w:tab/>
        <w:t xml:space="preserve">יפים לעניין זה דברי כב' המשנה לנשיא (כתוארו אז) </w:t>
      </w:r>
      <w:r>
        <w:rPr>
          <w:rFonts w:ascii="Century" w:hAnsi="Century" w:cs="Miriam" w:hint="cs"/>
          <w:b/>
          <w:spacing w:val="0"/>
          <w:szCs w:val="24"/>
          <w:rtl/>
        </w:rPr>
        <w:t>א' ברק</w:t>
      </w:r>
      <w:r>
        <w:rPr>
          <w:rFonts w:ascii="Century" w:hAnsi="Century"/>
          <w:rtl/>
        </w:rPr>
        <w:t>:</w:t>
      </w:r>
    </w:p>
    <w:p w:rsidR="00D865EA" w:rsidRDefault="00D865EA" w:rsidP="00D865EA">
      <w:pPr>
        <w:pStyle w:val="Ruller40"/>
        <w:rPr>
          <w:rFonts w:ascii="Century" w:hAnsi="Century"/>
          <w:rtl/>
        </w:rPr>
      </w:pPr>
    </w:p>
    <w:p w:rsidR="00D865EA" w:rsidRDefault="00D865EA" w:rsidP="00D865EA">
      <w:pPr>
        <w:pStyle w:val="Ruller5"/>
        <w:rPr>
          <w:rtl/>
        </w:rPr>
      </w:pPr>
      <w:r>
        <w:rPr>
          <w:rtl/>
        </w:rPr>
        <w:t xml:space="preserve">"השוטר הוא עובד ציבור (במובן הרחב). ככל עובד ציבור אחר, אף הוא נאמן הציבור. יכולתה של המשטרה למלא את תפקידיה מותנית באמון הציבור ביושר כפיהם, בהגינותם ובסבירותם של השוטרים. בלא יחסי אמון בין המשטרה לבין הקהילייה שהיא משרתת, לא תוכל המשטרה לקיים את משימותיה... אך מעבר לכך: לאור תפקידו המיוחד של השוטר וסמכויותיו, לאור חשיפתו לציבור ומגעיו עמו, נדרשת מהשוטר הקפדה מיוחדת על קלה כחמורה, כדי לקיים את אמון הציבור בו" (בג"ץ 7074/93 </w:t>
      </w:r>
      <w:proofErr w:type="spellStart"/>
      <w:r>
        <w:rPr>
          <w:rFonts w:ascii="Century" w:hAnsi="Century" w:cs="Miriam" w:hint="cs"/>
          <w:b/>
          <w:spacing w:val="0"/>
          <w:szCs w:val="24"/>
          <w:rtl/>
        </w:rPr>
        <w:t>סויסא</w:t>
      </w:r>
      <w:proofErr w:type="spellEnd"/>
      <w:r>
        <w:rPr>
          <w:rFonts w:ascii="Century" w:hAnsi="Century" w:cs="Miriam" w:hint="cs"/>
          <w:b/>
          <w:spacing w:val="0"/>
          <w:szCs w:val="24"/>
          <w:cs/>
        </w:rPr>
        <w:t>‎</w:t>
      </w:r>
      <w:r>
        <w:rPr>
          <w:rFonts w:ascii="Century" w:hAnsi="Century" w:cs="Miriam"/>
          <w:b/>
          <w:spacing w:val="0"/>
          <w:szCs w:val="24"/>
        </w:rPr>
        <w:t xml:space="preserve"> </w:t>
      </w:r>
      <w:r>
        <w:rPr>
          <w:rFonts w:ascii="Century" w:hAnsi="Century" w:cs="Miriam" w:hint="cs"/>
          <w:b/>
          <w:spacing w:val="0"/>
          <w:szCs w:val="24"/>
          <w:cs/>
        </w:rPr>
        <w:t>‎</w:t>
      </w:r>
      <w:r>
        <w:rPr>
          <w:rFonts w:ascii="Century" w:hAnsi="Century" w:cs="Miriam" w:hint="cs"/>
          <w:b/>
          <w:spacing w:val="0"/>
          <w:szCs w:val="24"/>
          <w:rtl/>
        </w:rPr>
        <w:t>נ' היועץ המשפטי לממשלה</w:t>
      </w:r>
      <w:r>
        <w:rPr>
          <w:rtl/>
        </w:rPr>
        <w:t>, פ"ד מח(2) 749, 783 (1994)).</w:t>
      </w:r>
    </w:p>
    <w:p w:rsidR="00D865EA" w:rsidRDefault="00D865EA" w:rsidP="00D865EA">
      <w:pPr>
        <w:pStyle w:val="Ruller40"/>
        <w:rPr>
          <w:rtl/>
        </w:rPr>
      </w:pPr>
    </w:p>
    <w:p w:rsidR="00D865EA" w:rsidRDefault="00D865EA" w:rsidP="00D865EA">
      <w:pPr>
        <w:pStyle w:val="Ruller40"/>
        <w:rPr>
          <w:rtl/>
        </w:rPr>
      </w:pPr>
      <w:r>
        <w:rPr>
          <w:rtl/>
        </w:rPr>
        <w:t>8.</w:t>
      </w:r>
      <w:r>
        <w:rPr>
          <w:rtl/>
        </w:rPr>
        <w:tab/>
        <w:t xml:space="preserve">על רקע כל האמור לעיל, אני מצטרפת בהסכמה לחוות דעתו של חברי, המשנה לנשיאה </w:t>
      </w:r>
      <w:r>
        <w:rPr>
          <w:rFonts w:ascii="Century" w:hAnsi="Century" w:cs="Miriam" w:hint="cs"/>
          <w:b/>
          <w:spacing w:val="0"/>
          <w:szCs w:val="24"/>
          <w:rtl/>
        </w:rPr>
        <w:t>נ' הנדל</w:t>
      </w:r>
      <w:r>
        <w:rPr>
          <w:rtl/>
        </w:rPr>
        <w:t xml:space="preserve">. </w:t>
      </w:r>
    </w:p>
    <w:p w:rsidR="00D865EA" w:rsidRDefault="00D865EA" w:rsidP="00D865EA">
      <w:pPr>
        <w:pStyle w:val="Ruller40"/>
        <w:rPr>
          <w:rtl/>
        </w:rPr>
      </w:pPr>
    </w:p>
    <w:p w:rsidR="00535E77" w:rsidRDefault="00535E77" w:rsidP="00D865EA">
      <w:pPr>
        <w:pStyle w:val="Ruller40"/>
        <w:rPr>
          <w:rtl/>
        </w:rPr>
      </w:pPr>
    </w:p>
    <w:p w:rsidR="00D865EA" w:rsidRDefault="00D865EA" w:rsidP="00D865EA">
      <w:pPr>
        <w:pStyle w:val="Ruller40"/>
        <w:rPr>
          <w:rtl/>
        </w:rPr>
      </w:pPr>
      <w:r>
        <w:rPr>
          <w:rFonts w:hint="cs"/>
          <w:rtl/>
        </w:rPr>
        <w:t xml:space="preserve">                                                                                                            ש ו פ ט ת</w:t>
      </w:r>
    </w:p>
    <w:p w:rsidR="00D865EA" w:rsidRPr="00535E77" w:rsidRDefault="00D865EA" w:rsidP="00535E77">
      <w:pPr>
        <w:tabs>
          <w:tab w:val="left" w:pos="800"/>
        </w:tabs>
        <w:spacing w:line="360" w:lineRule="auto"/>
        <w:jc w:val="both"/>
        <w:rPr>
          <w:rFonts w:ascii="Arial TUR" w:hAnsi="Arial TUR" w:cs="FrankRuehl"/>
          <w:spacing w:val="10"/>
          <w:sz w:val="22"/>
          <w:szCs w:val="28"/>
          <w:rtl/>
        </w:rPr>
      </w:pPr>
      <w:r>
        <w:rPr>
          <w:rFonts w:ascii="Arial TUR" w:hAnsi="Arial TUR" w:cs="FrankRuehl" w:hint="cs"/>
          <w:spacing w:val="10"/>
          <w:sz w:val="22"/>
          <w:szCs w:val="28"/>
          <w:rtl/>
        </w:rPr>
        <w:lastRenderedPageBreak/>
        <w:t xml:space="preserve"> </w:t>
      </w:r>
    </w:p>
    <w:p w:rsidR="00D865EA" w:rsidRDefault="00D865EA" w:rsidP="00D865EA">
      <w:pPr>
        <w:pStyle w:val="90"/>
        <w:rPr>
          <w:rtl/>
        </w:rPr>
      </w:pPr>
    </w:p>
    <w:p w:rsidR="00D865EA" w:rsidRDefault="00892B63" w:rsidP="00D865EA">
      <w:pPr>
        <w:pStyle w:val="90"/>
      </w:pPr>
      <w:r>
        <w:rPr>
          <w:rtl/>
        </w:rPr>
        <w:tab/>
      </w:r>
      <w:r w:rsidR="00D865EA">
        <w:rPr>
          <w:rFonts w:hint="cs"/>
          <w:rtl/>
        </w:rPr>
        <w:t xml:space="preserve">אשר על כן, הוחלט כאמור בחוות דעתו של המשנה לנשיאה </w:t>
      </w:r>
      <w:r w:rsidR="00D865EA">
        <w:rPr>
          <w:rFonts w:ascii="Century" w:hAnsi="Century" w:cs="Miriam" w:hint="cs"/>
          <w:b/>
          <w:spacing w:val="0"/>
          <w:szCs w:val="24"/>
          <w:rtl/>
        </w:rPr>
        <w:t>נ' הנדל</w:t>
      </w:r>
      <w:r w:rsidR="00D865EA">
        <w:rPr>
          <w:rFonts w:hint="cs"/>
          <w:rtl/>
        </w:rPr>
        <w:t xml:space="preserve"> אליה הצטרפה השופטת </w:t>
      </w:r>
      <w:r w:rsidR="00D865EA">
        <w:rPr>
          <w:rFonts w:ascii="Century" w:hAnsi="Century" w:cs="Miriam" w:hint="cs"/>
          <w:b/>
          <w:spacing w:val="0"/>
          <w:szCs w:val="24"/>
          <w:rtl/>
        </w:rPr>
        <w:t>י' וילנר</w:t>
      </w:r>
      <w:r w:rsidR="00D865EA">
        <w:rPr>
          <w:rFonts w:hint="cs"/>
          <w:rtl/>
        </w:rPr>
        <w:t xml:space="preserve"> כנגד דעתו החולקת של השופט </w:t>
      </w:r>
      <w:r w:rsidR="00D865EA">
        <w:rPr>
          <w:rFonts w:ascii="Century" w:hAnsi="Century" w:cs="Miriam" w:hint="cs"/>
          <w:b/>
          <w:spacing w:val="0"/>
          <w:szCs w:val="24"/>
          <w:rtl/>
        </w:rPr>
        <w:t>י' אלרון</w:t>
      </w:r>
      <w:r w:rsidR="00D865EA">
        <w:rPr>
          <w:rFonts w:hint="cs"/>
          <w:rtl/>
        </w:rPr>
        <w:t>.</w:t>
      </w:r>
    </w:p>
    <w:p w:rsidR="00D865EA" w:rsidRDefault="00D865EA" w:rsidP="00D865EA">
      <w:pPr>
        <w:pStyle w:val="90"/>
        <w:rPr>
          <w:rtl/>
        </w:rPr>
      </w:pPr>
      <w:r>
        <w:rPr>
          <w:rFonts w:hint="cs"/>
          <w:rtl/>
        </w:rPr>
        <w:tab/>
      </w:r>
    </w:p>
    <w:p w:rsidR="00D865EA" w:rsidRDefault="00D865EA" w:rsidP="00D865EA">
      <w:pPr>
        <w:pStyle w:val="90"/>
        <w:rPr>
          <w:rtl/>
        </w:rPr>
      </w:pPr>
      <w:r>
        <w:rPr>
          <w:rFonts w:hint="cs"/>
          <w:rtl/>
        </w:rPr>
        <w:tab/>
        <w:t xml:space="preserve">על המבקש להתייצב לתחילת ריצוי עונשו </w:t>
      </w:r>
      <w:proofErr w:type="spellStart"/>
      <w:r>
        <w:rPr>
          <w:rFonts w:hint="cs"/>
          <w:rtl/>
        </w:rPr>
        <w:t>בבימ"ר</w:t>
      </w:r>
      <w:proofErr w:type="spellEnd"/>
      <w:r>
        <w:rPr>
          <w:rFonts w:hint="cs"/>
          <w:rtl/>
        </w:rPr>
        <w:t xml:space="preserve"> ניצן, ביום 30.12.2021 לא יאוחר מהשעה 10:00, או על פי החלטת שב"ס, כשברשותו תעודת זהות או דרכון. על המבקש לתאם את הכניסה למאסר, כולל האפשרות למיון מוקדם, עם ענף אבחון ומיון של שב"ס בטלפונים: 08-9787377, 08-9787336.</w:t>
      </w:r>
    </w:p>
    <w:p w:rsidR="00D865EA" w:rsidRDefault="00D865EA" w:rsidP="00D865EA">
      <w:pPr>
        <w:pStyle w:val="90"/>
        <w:rPr>
          <w:rtl/>
        </w:rPr>
      </w:pPr>
    </w:p>
    <w:p w:rsidR="00D865EA" w:rsidRDefault="00D865EA" w:rsidP="00D865EA">
      <w:pPr>
        <w:pStyle w:val="90"/>
        <w:rPr>
          <w:rtl/>
        </w:rPr>
      </w:pPr>
    </w:p>
    <w:p w:rsidR="00D865EA" w:rsidRDefault="00D865EA" w:rsidP="00D865EA">
      <w:pPr>
        <w:pStyle w:val="90"/>
        <w:rPr>
          <w:rtl/>
        </w:rPr>
      </w:pPr>
      <w:r>
        <w:rPr>
          <w:rtl/>
        </w:rPr>
        <w:tab/>
        <w:t>נית</w:t>
      </w:r>
      <w:r>
        <w:rPr>
          <w:rFonts w:hint="cs"/>
          <w:rtl/>
        </w:rPr>
        <w:t>ן</w:t>
      </w:r>
      <w:r>
        <w:rPr>
          <w:rtl/>
        </w:rPr>
        <w:t xml:space="preserve"> היום, </w:t>
      </w:r>
      <w:r>
        <w:rPr>
          <w:rFonts w:hint="cs"/>
          <w:rtl/>
        </w:rPr>
        <w:t>י"א</w:t>
      </w:r>
      <w:r>
        <w:rPr>
          <w:rtl/>
        </w:rPr>
        <w:t xml:space="preserve"> בכסלו </w:t>
      </w:r>
      <w:proofErr w:type="spellStart"/>
      <w:r>
        <w:rPr>
          <w:rtl/>
        </w:rPr>
        <w:t>התשפ"ב</w:t>
      </w:r>
      <w:proofErr w:type="spellEnd"/>
      <w:r>
        <w:rPr>
          <w:rtl/>
        </w:rPr>
        <w:t xml:space="preserve"> (</w:t>
      </w:r>
      <w:r>
        <w:rPr>
          <w:rFonts w:hint="eastAsia"/>
          <w:rtl/>
        </w:rPr>
        <w:t>‏</w:t>
      </w:r>
      <w:r>
        <w:rPr>
          <w:rFonts w:hint="cs"/>
          <w:rtl/>
        </w:rPr>
        <w:t>15</w:t>
      </w:r>
      <w:r>
        <w:rPr>
          <w:rtl/>
        </w:rPr>
        <w:t>.11.2021).</w:t>
      </w:r>
    </w:p>
    <w:p w:rsidR="00D865EA" w:rsidRDefault="00D865EA" w:rsidP="00D865EA">
      <w:pPr>
        <w:pStyle w:val="90"/>
        <w:rPr>
          <w:rtl/>
        </w:rPr>
      </w:pPr>
    </w:p>
    <w:p w:rsidR="00D865EA" w:rsidRDefault="00D865EA" w:rsidP="00D865EA">
      <w:pPr>
        <w:pStyle w:val="90"/>
        <w:rPr>
          <w:rtl/>
        </w:rPr>
      </w:pPr>
    </w:p>
    <w:p w:rsidR="00892B63" w:rsidRDefault="00892B63" w:rsidP="00D865EA">
      <w:pPr>
        <w:pStyle w:val="90"/>
        <w:rPr>
          <w:rtl/>
        </w:rPr>
      </w:pPr>
    </w:p>
    <w:p w:rsidR="00044953" w:rsidRDefault="00D865EA" w:rsidP="00E770D8">
      <w:pPr>
        <w:pStyle w:val="90"/>
        <w:rPr>
          <w:rtl/>
        </w:rPr>
      </w:pPr>
      <w:r>
        <w:rPr>
          <w:rFonts w:hint="cs"/>
          <w:rtl/>
        </w:rPr>
        <w:t xml:space="preserve">המשנה לנשיאה                 </w:t>
      </w:r>
      <w:r w:rsidR="00542AD4">
        <w:rPr>
          <w:rFonts w:hint="cs"/>
          <w:rtl/>
        </w:rPr>
        <w:t xml:space="preserve">     </w:t>
      </w:r>
      <w:r>
        <w:rPr>
          <w:rFonts w:hint="cs"/>
          <w:rtl/>
        </w:rPr>
        <w:t xml:space="preserve">       ש ו פ ט                           </w:t>
      </w:r>
      <w:r w:rsidR="0062004F">
        <w:rPr>
          <w:rFonts w:hint="cs"/>
          <w:rtl/>
        </w:rPr>
        <w:t xml:space="preserve">  </w:t>
      </w:r>
      <w:r>
        <w:rPr>
          <w:rFonts w:hint="cs"/>
          <w:rtl/>
        </w:rPr>
        <w:t xml:space="preserve">             ש ו פ ט</w:t>
      </w:r>
      <w:r w:rsidR="00E770D8">
        <w:rPr>
          <w:rFonts w:hint="cs"/>
          <w:rtl/>
        </w:rPr>
        <w:t xml:space="preserve"> ת</w:t>
      </w:r>
    </w:p>
    <w:p w:rsidR="00916FF8" w:rsidRDefault="00916FF8">
      <w:pPr>
        <w:rPr>
          <w:szCs w:val="16"/>
          <w:rtl/>
        </w:rPr>
      </w:pPr>
      <w:r>
        <w:rPr>
          <w:szCs w:val="16"/>
          <w:rtl/>
        </w:rPr>
        <w:t>_________________</w:t>
      </w:r>
      <w:r w:rsidR="00A12E0F">
        <w:rPr>
          <w:rFonts w:hint="cs"/>
          <w:szCs w:val="16"/>
          <w:rtl/>
        </w:rPr>
        <w:t>________</w:t>
      </w:r>
    </w:p>
    <w:p w:rsidR="00916FF8" w:rsidRDefault="00591983" w:rsidP="00B009CC">
      <w:pPr>
        <w:pStyle w:val="Ruller38"/>
        <w:rPr>
          <w:rtl/>
        </w:rPr>
      </w:pPr>
      <w:r>
        <w:rPr>
          <w:sz w:val="16"/>
        </w:rPr>
        <w:t xml:space="preserve"> </w:t>
      </w:r>
      <w:r w:rsidR="00A12E0F">
        <w:rPr>
          <w:sz w:val="16"/>
        </w:rPr>
        <w:t xml:space="preserve">  </w:t>
      </w:r>
      <w:r w:rsidR="00D65674">
        <w:rPr>
          <w:sz w:val="16"/>
        </w:rPr>
        <w:t xml:space="preserve">20064770_J07.docx   </w:t>
      </w:r>
      <w:proofErr w:type="spellStart"/>
      <w:r w:rsidR="00D65674">
        <w:rPr>
          <w:sz w:val="16"/>
          <w:rtl/>
        </w:rPr>
        <w:t>עע</w:t>
      </w:r>
      <w:proofErr w:type="spellEnd"/>
    </w:p>
    <w:p w:rsidR="00591983" w:rsidRPr="0058440A" w:rsidRDefault="00591983" w:rsidP="0058440A">
      <w:pPr>
        <w:pStyle w:val="Ruller38"/>
        <w:rPr>
          <w:rtl/>
        </w:rPr>
      </w:pPr>
      <w:r>
        <w:rPr>
          <w:rtl/>
        </w:rPr>
        <w:t>מרכז מידע, טל'</w:t>
      </w:r>
      <w:r>
        <w:rPr>
          <w:rFonts w:hint="cs"/>
          <w:rtl/>
        </w:rPr>
        <w:t xml:space="preserve"> </w:t>
      </w:r>
      <w:r w:rsidR="00B63343">
        <w:rPr>
          <w:rFonts w:hint="cs"/>
          <w:rtl/>
        </w:rPr>
        <w:t>077</w:t>
      </w:r>
      <w:r>
        <w:rPr>
          <w:rFonts w:hint="cs"/>
          <w:rtl/>
        </w:rPr>
        <w:t>-</w:t>
      </w:r>
      <w:r w:rsidR="00B63343">
        <w:rPr>
          <w:rFonts w:hint="cs"/>
          <w:rtl/>
        </w:rPr>
        <w:t>270</w:t>
      </w:r>
      <w:r w:rsidR="00E21CA9">
        <w:rPr>
          <w:rFonts w:hint="cs"/>
          <w:rtl/>
        </w:rPr>
        <w:t>3</w:t>
      </w:r>
      <w:r w:rsidR="009B38DA">
        <w:rPr>
          <w:rFonts w:hint="cs"/>
          <w:rtl/>
        </w:rPr>
        <w:t>333</w:t>
      </w:r>
      <w:r w:rsidR="00866D0F">
        <w:rPr>
          <w:rFonts w:hint="cs"/>
          <w:rtl/>
        </w:rPr>
        <w:t>, 3852*</w:t>
      </w:r>
      <w:r>
        <w:rPr>
          <w:rFonts w:hint="cs"/>
          <w:rtl/>
        </w:rPr>
        <w:t xml:space="preserve"> ; אתר אינטרנט,  </w:t>
      </w:r>
      <w:hyperlink r:id="rId8" w:history="1">
        <w:r w:rsidR="0058440A" w:rsidRPr="00CB1590">
          <w:rPr>
            <w:rStyle w:val="Hyperlink"/>
            <w:sz w:val="16"/>
          </w:rPr>
          <w:t>http://supreme.court.gov.i</w:t>
        </w:r>
      </w:hyperlink>
      <w:r w:rsidR="0058440A" w:rsidRPr="00CB1590">
        <w:rPr>
          <w:sz w:val="16"/>
        </w:rPr>
        <w:t>l</w:t>
      </w:r>
    </w:p>
    <w:p w:rsidR="003F1F97" w:rsidRDefault="003F1F97" w:rsidP="00591983">
      <w:pPr>
        <w:pStyle w:val="Ruller38"/>
        <w:rPr>
          <w:rtl/>
        </w:rPr>
      </w:pPr>
    </w:p>
    <w:sectPr w:rsidR="003F1F97" w:rsidSect="00591983">
      <w:headerReference w:type="even" r:id="rId9"/>
      <w:headerReference w:type="default" r:id="rId10"/>
      <w:footerReference w:type="even" r:id="rId11"/>
      <w:footerReference w:type="default" r:id="rId12"/>
      <w:headerReference w:type="first" r:id="rId13"/>
      <w:footerReference w:type="first" r:id="rId14"/>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512" w:rsidRDefault="007F7512">
      <w:r>
        <w:separator/>
      </w:r>
    </w:p>
  </w:endnote>
  <w:endnote w:type="continuationSeparator" w:id="0">
    <w:p w:rsidR="007F7512" w:rsidRDefault="007F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David">
    <w:panose1 w:val="020E0502060401010101"/>
    <w:charset w:val="B1"/>
    <w:family w:val="swiss"/>
    <w:pitch w:val="variable"/>
    <w:sig w:usb0="00000801" w:usb1="00000000" w:usb2="00000000" w:usb3="00000000" w:csb0="00000020" w:csb1="00000000"/>
  </w:font>
  <w:font w:name="Century">
    <w:panose1 w:val="02040604050505020304"/>
    <w:charset w:val="00"/>
    <w:family w:val="roman"/>
    <w:pitch w:val="variable"/>
    <w:sig w:usb0="00000287" w:usb1="00000000" w:usb2="00000000" w:usb3="00000000" w:csb0="0000009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Arial TUR">
    <w:charset w:val="00"/>
    <w:family w:val="swiss"/>
    <w:pitch w:val="variable"/>
    <w:sig w:usb0="E0002EFF" w:usb1="C000785B"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4"/>
      <w:framePr w:wrap="around" w:vAnchor="text" w:hAnchor="margin" w:xAlign="center" w:y="1"/>
      <w:rPr>
        <w:rStyle w:val="a6"/>
        <w:rtl/>
      </w:rPr>
    </w:pPr>
    <w:r>
      <w:rPr>
        <w:rStyle w:val="a6"/>
        <w:rtl/>
      </w:rPr>
      <w:fldChar w:fldCharType="begin"/>
    </w:r>
    <w:r>
      <w:rPr>
        <w:rStyle w:val="a6"/>
      </w:rPr>
      <w:instrText xml:space="preserve">PAGE  </w:instrText>
    </w:r>
    <w:r>
      <w:rPr>
        <w:rStyle w:val="a6"/>
        <w:rtl/>
      </w:rPr>
      <w:fldChar w:fldCharType="separate"/>
    </w:r>
    <w:r w:rsidR="00BC0E82">
      <w:rPr>
        <w:rStyle w:val="a6"/>
        <w:noProof/>
        <w:rtl/>
      </w:rPr>
      <w:t>1</w:t>
    </w:r>
    <w:r>
      <w:rPr>
        <w:rStyle w:val="a6"/>
        <w:rtl/>
      </w:rPr>
      <w:fldChar w:fldCharType="end"/>
    </w:r>
  </w:p>
  <w:p w:rsidR="00377102" w:rsidRDefault="00377102">
    <w:pPr>
      <w:pStyle w:val="a4"/>
      <w:rPr>
        <w:rtl/>
      </w:rPr>
    </w:pPr>
  </w:p>
  <w:p w:rsidR="00377102" w:rsidRDefault="003771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8BB" w:rsidRDefault="00D868BB">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B4D" w:rsidRPr="00F959DB" w:rsidRDefault="00045B4D" w:rsidP="00914156">
    <w:pPr>
      <w:pStyle w:val="a4"/>
      <w:bidi w:val="0"/>
      <w:jc w:val="right"/>
      <w:rPr>
        <w:sz w:val="16"/>
        <w:szCs w:val="16"/>
      </w:rPr>
    </w:pPr>
    <w:bookmarkStart w:id="10" w:name="footer_line"/>
    <w:bookmarkEnd w:id="10"/>
  </w:p>
  <w:p w:rsidR="00045B4D" w:rsidRDefault="00045B4D">
    <w:pPr>
      <w:pStyle w:val="a4"/>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512" w:rsidRDefault="007F7512">
      <w:r>
        <w:separator/>
      </w:r>
    </w:p>
  </w:footnote>
  <w:footnote w:type="continuationSeparator" w:id="0">
    <w:p w:rsidR="007F7512" w:rsidRDefault="007F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7"/>
      <w:framePr w:wrap="around" w:vAnchor="text" w:hAnchor="margin" w:xAlign="center" w:y="1"/>
      <w:rPr>
        <w:rStyle w:val="a6"/>
        <w:rtl/>
      </w:rPr>
    </w:pPr>
    <w:r>
      <w:rPr>
        <w:rStyle w:val="a6"/>
        <w:rtl/>
      </w:rPr>
      <w:fldChar w:fldCharType="begin"/>
    </w:r>
    <w:r>
      <w:rPr>
        <w:rStyle w:val="a6"/>
      </w:rPr>
      <w:instrText xml:space="preserve">PAGE  </w:instrText>
    </w:r>
    <w:r>
      <w:rPr>
        <w:rStyle w:val="a6"/>
        <w:rtl/>
      </w:rPr>
      <w:fldChar w:fldCharType="separate"/>
    </w:r>
    <w:r w:rsidR="00BC0E82">
      <w:rPr>
        <w:rStyle w:val="a6"/>
        <w:noProof/>
        <w:rtl/>
      </w:rPr>
      <w:t>1</w:t>
    </w:r>
    <w:r>
      <w:rPr>
        <w:rStyle w:val="a6"/>
        <w:rtl/>
      </w:rPr>
      <w:fldChar w:fldCharType="end"/>
    </w:r>
  </w:p>
  <w:p w:rsidR="00377102" w:rsidRDefault="00377102">
    <w:pPr>
      <w:pStyle w:val="a7"/>
      <w:rPr>
        <w:rtl/>
      </w:rPr>
    </w:pPr>
  </w:p>
  <w:p w:rsidR="00377102" w:rsidRDefault="003771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7"/>
      <w:framePr w:wrap="around" w:vAnchor="text" w:hAnchor="margin" w:xAlign="center" w:y="1"/>
      <w:rPr>
        <w:rStyle w:val="a6"/>
        <w:rtl/>
      </w:rPr>
    </w:pPr>
    <w:r>
      <w:rPr>
        <w:rStyle w:val="a6"/>
        <w:rtl/>
      </w:rPr>
      <w:fldChar w:fldCharType="begin"/>
    </w:r>
    <w:r>
      <w:rPr>
        <w:rStyle w:val="a6"/>
      </w:rPr>
      <w:instrText xml:space="preserve">PAGE  </w:instrText>
    </w:r>
    <w:r>
      <w:rPr>
        <w:rStyle w:val="a6"/>
        <w:rtl/>
      </w:rPr>
      <w:fldChar w:fldCharType="separate"/>
    </w:r>
    <w:r w:rsidR="00102309">
      <w:rPr>
        <w:rStyle w:val="a6"/>
        <w:noProof/>
        <w:rtl/>
      </w:rPr>
      <w:t>21</w:t>
    </w:r>
    <w:r>
      <w:rPr>
        <w:rStyle w:val="a6"/>
        <w:rtl/>
      </w:rPr>
      <w:fldChar w:fldCharType="end"/>
    </w:r>
  </w:p>
  <w:p w:rsidR="00377102" w:rsidRDefault="00377102">
    <w:pPr>
      <w:pStyle w:val="a7"/>
      <w:rPr>
        <w:rtl/>
      </w:rPr>
    </w:pPr>
  </w:p>
  <w:p w:rsidR="00377102" w:rsidRDefault="003771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363" w:type="dxa"/>
      <w:tblLook w:val="0000" w:firstRow="0" w:lastRow="0" w:firstColumn="0" w:lastColumn="0" w:noHBand="0" w:noVBand="0"/>
    </w:tblPr>
    <w:tblGrid>
      <w:gridCol w:w="8363"/>
    </w:tblGrid>
    <w:tr w:rsidR="00045B4D" w:rsidTr="00EC23AC">
      <w:trPr>
        <w:trHeight w:val="342"/>
      </w:trPr>
      <w:tc>
        <w:tcPr>
          <w:tcW w:w="9828" w:type="dxa"/>
        </w:tcPr>
        <w:p w:rsidR="00377102" w:rsidRPr="002F7BB6" w:rsidRDefault="00EE3810" w:rsidP="00045B4D">
          <w:pPr>
            <w:pStyle w:val="Casenameintextbody"/>
            <w:jc w:val="center"/>
            <w:rPr>
              <w:u w:val="none"/>
              <w:rtl/>
            </w:rPr>
          </w:pPr>
          <w:r w:rsidRPr="002F7BB6">
            <w:rPr>
              <w:noProof/>
              <w:sz w:val="16"/>
              <w:szCs w:val="18"/>
              <w:u w:val="none"/>
              <w:rtl/>
            </w:rPr>
            <w:drawing>
              <wp:inline distT="0" distB="0" distL="0" distR="0">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rsidR="00045B4D" w:rsidRPr="00997ED4" w:rsidRDefault="00045B4D" w:rsidP="00997ED4">
    <w:pPr>
      <w:pStyle w:val="a7"/>
      <w:rPr>
        <w:sz w:val="10"/>
        <w:szCs w:val="14"/>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A0648E14"/>
    <w:lvl w:ilvl="0" w:tplc="10C22820">
      <w:start w:val="1"/>
      <w:numFmt w:val="decimal"/>
      <w:pStyle w:val="a"/>
      <w:lvlText w:val="%1."/>
      <w:lvlJc w:val="left"/>
      <w:pPr>
        <w:tabs>
          <w:tab w:val="num" w:pos="907"/>
        </w:tabs>
        <w:ind w:left="0" w:firstLine="0"/>
      </w:pPr>
      <w:rPr>
        <w:rFonts w:cs="FrankRuehl" w:hint="default"/>
        <w:lang w:val="en-US" w:bidi="he-I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4F458F"/>
    <w:multiLevelType w:val="hybridMultilevel"/>
    <w:tmpl w:val="16C2839C"/>
    <w:lvl w:ilvl="0" w:tplc="7F124AB8">
      <w:start w:val="1"/>
      <w:numFmt w:val="decimal"/>
      <w:lvlText w:val="%1."/>
      <w:lvlJc w:val="left"/>
      <w:pPr>
        <w:ind w:left="720" w:hanging="360"/>
      </w:pPr>
      <w:rPr>
        <w:rFonts w:hint="default"/>
      </w:rPr>
    </w:lvl>
    <w:lvl w:ilvl="1" w:tplc="0DF6154A" w:tentative="1">
      <w:start w:val="1"/>
      <w:numFmt w:val="lowerLetter"/>
      <w:lvlText w:val="%2."/>
      <w:lvlJc w:val="left"/>
      <w:pPr>
        <w:ind w:left="1440" w:hanging="360"/>
      </w:pPr>
    </w:lvl>
    <w:lvl w:ilvl="2" w:tplc="1ADE1AD8" w:tentative="1">
      <w:start w:val="1"/>
      <w:numFmt w:val="lowerRoman"/>
      <w:lvlText w:val="%3."/>
      <w:lvlJc w:val="right"/>
      <w:pPr>
        <w:ind w:left="2160" w:hanging="180"/>
      </w:pPr>
    </w:lvl>
    <w:lvl w:ilvl="3" w:tplc="220692E2" w:tentative="1">
      <w:start w:val="1"/>
      <w:numFmt w:val="decimal"/>
      <w:lvlText w:val="%4."/>
      <w:lvlJc w:val="left"/>
      <w:pPr>
        <w:ind w:left="2880" w:hanging="360"/>
      </w:pPr>
    </w:lvl>
    <w:lvl w:ilvl="4" w:tplc="7A047BF8" w:tentative="1">
      <w:start w:val="1"/>
      <w:numFmt w:val="lowerLetter"/>
      <w:lvlText w:val="%5."/>
      <w:lvlJc w:val="left"/>
      <w:pPr>
        <w:ind w:left="3600" w:hanging="360"/>
      </w:pPr>
    </w:lvl>
    <w:lvl w:ilvl="5" w:tplc="4D1A3CEE" w:tentative="1">
      <w:start w:val="1"/>
      <w:numFmt w:val="lowerRoman"/>
      <w:lvlText w:val="%6."/>
      <w:lvlJc w:val="right"/>
      <w:pPr>
        <w:ind w:left="4320" w:hanging="180"/>
      </w:pPr>
    </w:lvl>
    <w:lvl w:ilvl="6" w:tplc="E95AD0A8" w:tentative="1">
      <w:start w:val="1"/>
      <w:numFmt w:val="decimal"/>
      <w:lvlText w:val="%7."/>
      <w:lvlJc w:val="left"/>
      <w:pPr>
        <w:ind w:left="5040" w:hanging="360"/>
      </w:pPr>
    </w:lvl>
    <w:lvl w:ilvl="7" w:tplc="6A00E1A6" w:tentative="1">
      <w:start w:val="1"/>
      <w:numFmt w:val="lowerLetter"/>
      <w:lvlText w:val="%8."/>
      <w:lvlJc w:val="left"/>
      <w:pPr>
        <w:ind w:left="5760" w:hanging="360"/>
      </w:pPr>
    </w:lvl>
    <w:lvl w:ilvl="8" w:tplc="192C3594" w:tentative="1">
      <w:start w:val="1"/>
      <w:numFmt w:val="lowerRoman"/>
      <w:lvlText w:val="%9."/>
      <w:lvlJc w:val="right"/>
      <w:pPr>
        <w:ind w:left="6480" w:hanging="180"/>
      </w:pPr>
    </w:lvl>
  </w:abstractNum>
  <w:abstractNum w:abstractNumId="12" w15:restartNumberingAfterBreak="0">
    <w:nsid w:val="45A4673F"/>
    <w:multiLevelType w:val="hybridMultilevel"/>
    <w:tmpl w:val="0CD48F94"/>
    <w:lvl w:ilvl="0" w:tplc="96C805C0">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D07C0"/>
    <w:multiLevelType w:val="hybridMultilevel"/>
    <w:tmpl w:val="E8E08046"/>
    <w:lvl w:ilvl="0" w:tplc="783AEBDA">
      <w:start w:val="1"/>
      <w:numFmt w:val="decimal"/>
      <w:lvlText w:val="%1."/>
      <w:lvlJc w:val="left"/>
      <w:pPr>
        <w:ind w:left="720" w:hanging="360"/>
      </w:pPr>
      <w:rPr>
        <w:rFonts w:hint="default"/>
      </w:rPr>
    </w:lvl>
    <w:lvl w:ilvl="1" w:tplc="A2FE7298" w:tentative="1">
      <w:start w:val="1"/>
      <w:numFmt w:val="lowerLetter"/>
      <w:lvlText w:val="%2."/>
      <w:lvlJc w:val="left"/>
      <w:pPr>
        <w:ind w:left="1440" w:hanging="360"/>
      </w:pPr>
    </w:lvl>
    <w:lvl w:ilvl="2" w:tplc="AB98788C" w:tentative="1">
      <w:start w:val="1"/>
      <w:numFmt w:val="lowerRoman"/>
      <w:lvlText w:val="%3."/>
      <w:lvlJc w:val="right"/>
      <w:pPr>
        <w:ind w:left="2160" w:hanging="180"/>
      </w:pPr>
    </w:lvl>
    <w:lvl w:ilvl="3" w:tplc="24424F66" w:tentative="1">
      <w:start w:val="1"/>
      <w:numFmt w:val="decimal"/>
      <w:lvlText w:val="%4."/>
      <w:lvlJc w:val="left"/>
      <w:pPr>
        <w:ind w:left="2880" w:hanging="360"/>
      </w:pPr>
    </w:lvl>
    <w:lvl w:ilvl="4" w:tplc="6C3A6B02" w:tentative="1">
      <w:start w:val="1"/>
      <w:numFmt w:val="lowerLetter"/>
      <w:lvlText w:val="%5."/>
      <w:lvlJc w:val="left"/>
      <w:pPr>
        <w:ind w:left="3600" w:hanging="360"/>
      </w:pPr>
    </w:lvl>
    <w:lvl w:ilvl="5" w:tplc="C57256DE" w:tentative="1">
      <w:start w:val="1"/>
      <w:numFmt w:val="lowerRoman"/>
      <w:lvlText w:val="%6."/>
      <w:lvlJc w:val="right"/>
      <w:pPr>
        <w:ind w:left="4320" w:hanging="180"/>
      </w:pPr>
    </w:lvl>
    <w:lvl w:ilvl="6" w:tplc="0AC6A6F0" w:tentative="1">
      <w:start w:val="1"/>
      <w:numFmt w:val="decimal"/>
      <w:lvlText w:val="%7."/>
      <w:lvlJc w:val="left"/>
      <w:pPr>
        <w:ind w:left="5040" w:hanging="360"/>
      </w:pPr>
    </w:lvl>
    <w:lvl w:ilvl="7" w:tplc="B31EFDF6" w:tentative="1">
      <w:start w:val="1"/>
      <w:numFmt w:val="lowerLetter"/>
      <w:lvlText w:val="%8."/>
      <w:lvlJc w:val="left"/>
      <w:pPr>
        <w:ind w:left="5760" w:hanging="360"/>
      </w:pPr>
    </w:lvl>
    <w:lvl w:ilvl="8" w:tplc="4C5CFA6E" w:tentative="1">
      <w:start w:val="1"/>
      <w:numFmt w:val="lowerRoman"/>
      <w:lvlText w:val="%9."/>
      <w:lvlJc w:val="right"/>
      <w:pPr>
        <w:ind w:left="6480" w:hanging="180"/>
      </w:pPr>
    </w:lvl>
  </w:abstractNum>
  <w:abstractNum w:abstractNumId="14" w15:restartNumberingAfterBreak="0">
    <w:nsid w:val="4FE70B62"/>
    <w:multiLevelType w:val="hybridMultilevel"/>
    <w:tmpl w:val="ADA8711E"/>
    <w:lvl w:ilvl="0" w:tplc="DBB0A036">
      <w:start w:val="1"/>
      <w:numFmt w:val="hebrew1"/>
      <w:pStyle w:val="Ruller4"/>
      <w:lvlText w:val="%1."/>
      <w:lvlJc w:val="left"/>
      <w:pPr>
        <w:tabs>
          <w:tab w:val="num" w:pos="90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955690"/>
    <w:multiLevelType w:val="hybridMultilevel"/>
    <w:tmpl w:val="883C0F64"/>
    <w:lvl w:ilvl="0" w:tplc="E35A8782">
      <w:start w:val="1"/>
      <w:numFmt w:val="decimal"/>
      <w:lvlText w:val="%1."/>
      <w:lvlJc w:val="left"/>
      <w:pPr>
        <w:ind w:left="720" w:hanging="360"/>
      </w:pPr>
      <w:rPr>
        <w:rFonts w:hint="default"/>
        <w:sz w:val="28"/>
      </w:rPr>
    </w:lvl>
    <w:lvl w:ilvl="1" w:tplc="1696FCC0" w:tentative="1">
      <w:start w:val="1"/>
      <w:numFmt w:val="lowerLetter"/>
      <w:lvlText w:val="%2."/>
      <w:lvlJc w:val="left"/>
      <w:pPr>
        <w:ind w:left="1440" w:hanging="360"/>
      </w:pPr>
    </w:lvl>
    <w:lvl w:ilvl="2" w:tplc="08CA9B7E" w:tentative="1">
      <w:start w:val="1"/>
      <w:numFmt w:val="lowerRoman"/>
      <w:lvlText w:val="%3."/>
      <w:lvlJc w:val="right"/>
      <w:pPr>
        <w:ind w:left="2160" w:hanging="180"/>
      </w:pPr>
    </w:lvl>
    <w:lvl w:ilvl="3" w:tplc="DBF87AAE" w:tentative="1">
      <w:start w:val="1"/>
      <w:numFmt w:val="decimal"/>
      <w:lvlText w:val="%4."/>
      <w:lvlJc w:val="left"/>
      <w:pPr>
        <w:ind w:left="2880" w:hanging="360"/>
      </w:pPr>
    </w:lvl>
    <w:lvl w:ilvl="4" w:tplc="055AAE8C" w:tentative="1">
      <w:start w:val="1"/>
      <w:numFmt w:val="lowerLetter"/>
      <w:lvlText w:val="%5."/>
      <w:lvlJc w:val="left"/>
      <w:pPr>
        <w:ind w:left="3600" w:hanging="360"/>
      </w:pPr>
    </w:lvl>
    <w:lvl w:ilvl="5" w:tplc="D778D796" w:tentative="1">
      <w:start w:val="1"/>
      <w:numFmt w:val="lowerRoman"/>
      <w:lvlText w:val="%6."/>
      <w:lvlJc w:val="right"/>
      <w:pPr>
        <w:ind w:left="4320" w:hanging="180"/>
      </w:pPr>
    </w:lvl>
    <w:lvl w:ilvl="6" w:tplc="19D20542" w:tentative="1">
      <w:start w:val="1"/>
      <w:numFmt w:val="decimal"/>
      <w:lvlText w:val="%7."/>
      <w:lvlJc w:val="left"/>
      <w:pPr>
        <w:ind w:left="5040" w:hanging="360"/>
      </w:pPr>
    </w:lvl>
    <w:lvl w:ilvl="7" w:tplc="370C39DC" w:tentative="1">
      <w:start w:val="1"/>
      <w:numFmt w:val="lowerLetter"/>
      <w:lvlText w:val="%8."/>
      <w:lvlJc w:val="left"/>
      <w:pPr>
        <w:ind w:left="5760" w:hanging="360"/>
      </w:pPr>
    </w:lvl>
    <w:lvl w:ilvl="8" w:tplc="33A0EE70" w:tentative="1">
      <w:start w:val="1"/>
      <w:numFmt w:val="lowerRoman"/>
      <w:lvlText w:val="%9."/>
      <w:lvlJc w:val="right"/>
      <w:pPr>
        <w:ind w:left="6480" w:hanging="180"/>
      </w:pPr>
    </w:lvl>
  </w:abstractNum>
  <w:abstractNum w:abstractNumId="16" w15:restartNumberingAfterBreak="0">
    <w:nsid w:val="5E7B59FF"/>
    <w:multiLevelType w:val="hybridMultilevel"/>
    <w:tmpl w:val="42868C78"/>
    <w:lvl w:ilvl="0" w:tplc="BA48D4BE">
      <w:start w:val="1"/>
      <w:numFmt w:val="hebrew1"/>
      <w:lvlText w:val="%1."/>
      <w:lvlJc w:val="left"/>
      <w:pPr>
        <w:ind w:left="1160" w:hanging="360"/>
      </w:pPr>
      <w:rPr>
        <w:rFonts w:hint="default"/>
      </w:rPr>
    </w:lvl>
    <w:lvl w:ilvl="1" w:tplc="3C8C4D9C" w:tentative="1">
      <w:start w:val="1"/>
      <w:numFmt w:val="lowerLetter"/>
      <w:lvlText w:val="%2."/>
      <w:lvlJc w:val="left"/>
      <w:pPr>
        <w:ind w:left="1880" w:hanging="360"/>
      </w:pPr>
    </w:lvl>
    <w:lvl w:ilvl="2" w:tplc="D60AC6C6" w:tentative="1">
      <w:start w:val="1"/>
      <w:numFmt w:val="lowerRoman"/>
      <w:lvlText w:val="%3."/>
      <w:lvlJc w:val="right"/>
      <w:pPr>
        <w:ind w:left="2600" w:hanging="180"/>
      </w:pPr>
    </w:lvl>
    <w:lvl w:ilvl="3" w:tplc="314CB8DC" w:tentative="1">
      <w:start w:val="1"/>
      <w:numFmt w:val="decimal"/>
      <w:lvlText w:val="%4."/>
      <w:lvlJc w:val="left"/>
      <w:pPr>
        <w:ind w:left="3320" w:hanging="360"/>
      </w:pPr>
    </w:lvl>
    <w:lvl w:ilvl="4" w:tplc="490238F2" w:tentative="1">
      <w:start w:val="1"/>
      <w:numFmt w:val="lowerLetter"/>
      <w:lvlText w:val="%5."/>
      <w:lvlJc w:val="left"/>
      <w:pPr>
        <w:ind w:left="4040" w:hanging="360"/>
      </w:pPr>
    </w:lvl>
    <w:lvl w:ilvl="5" w:tplc="EADE0A62" w:tentative="1">
      <w:start w:val="1"/>
      <w:numFmt w:val="lowerRoman"/>
      <w:lvlText w:val="%6."/>
      <w:lvlJc w:val="right"/>
      <w:pPr>
        <w:ind w:left="4760" w:hanging="180"/>
      </w:pPr>
    </w:lvl>
    <w:lvl w:ilvl="6" w:tplc="9D9C0D2A" w:tentative="1">
      <w:start w:val="1"/>
      <w:numFmt w:val="decimal"/>
      <w:lvlText w:val="%7."/>
      <w:lvlJc w:val="left"/>
      <w:pPr>
        <w:ind w:left="5480" w:hanging="360"/>
      </w:pPr>
    </w:lvl>
    <w:lvl w:ilvl="7" w:tplc="5DBC7C60" w:tentative="1">
      <w:start w:val="1"/>
      <w:numFmt w:val="lowerLetter"/>
      <w:lvlText w:val="%8."/>
      <w:lvlJc w:val="left"/>
      <w:pPr>
        <w:ind w:left="6200" w:hanging="360"/>
      </w:pPr>
    </w:lvl>
    <w:lvl w:ilvl="8" w:tplc="03AC59DE" w:tentative="1">
      <w:start w:val="1"/>
      <w:numFmt w:val="lowerRoman"/>
      <w:lvlText w:val="%9."/>
      <w:lvlJc w:val="right"/>
      <w:pPr>
        <w:ind w:left="692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4"/>
  </w:num>
  <w:num w:numId="13">
    <w:abstractNumId w:val="12"/>
  </w:num>
  <w:num w:numId="14">
    <w:abstractNumId w:val="15"/>
  </w:num>
  <w:num w:numId="15">
    <w:abstractNumId w:val="13"/>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044D2"/>
    <w:rsid w:val="00016EF1"/>
    <w:rsid w:val="00032036"/>
    <w:rsid w:val="00036227"/>
    <w:rsid w:val="00044953"/>
    <w:rsid w:val="00045B4D"/>
    <w:rsid w:val="00056379"/>
    <w:rsid w:val="000725F5"/>
    <w:rsid w:val="00072AD2"/>
    <w:rsid w:val="00083E03"/>
    <w:rsid w:val="000B1478"/>
    <w:rsid w:val="000C4690"/>
    <w:rsid w:val="000D25C4"/>
    <w:rsid w:val="000F3C05"/>
    <w:rsid w:val="00102309"/>
    <w:rsid w:val="00134A67"/>
    <w:rsid w:val="001A0164"/>
    <w:rsid w:val="00200D6B"/>
    <w:rsid w:val="00265F6E"/>
    <w:rsid w:val="002876BF"/>
    <w:rsid w:val="002A4A7A"/>
    <w:rsid w:val="002A4BF3"/>
    <w:rsid w:val="002B1D24"/>
    <w:rsid w:val="002F7BB6"/>
    <w:rsid w:val="003448B2"/>
    <w:rsid w:val="00350022"/>
    <w:rsid w:val="00355F23"/>
    <w:rsid w:val="00361DB2"/>
    <w:rsid w:val="0037622E"/>
    <w:rsid w:val="00377102"/>
    <w:rsid w:val="0039709B"/>
    <w:rsid w:val="003D72DA"/>
    <w:rsid w:val="003F1F97"/>
    <w:rsid w:val="0041048F"/>
    <w:rsid w:val="00437D59"/>
    <w:rsid w:val="004610A4"/>
    <w:rsid w:val="004B29FF"/>
    <w:rsid w:val="004C7868"/>
    <w:rsid w:val="00503A3E"/>
    <w:rsid w:val="00511278"/>
    <w:rsid w:val="00527F02"/>
    <w:rsid w:val="00535E77"/>
    <w:rsid w:val="00542AD4"/>
    <w:rsid w:val="005500BA"/>
    <w:rsid w:val="005803E2"/>
    <w:rsid w:val="005843B9"/>
    <w:rsid w:val="0058440A"/>
    <w:rsid w:val="00591983"/>
    <w:rsid w:val="0062004F"/>
    <w:rsid w:val="00624A42"/>
    <w:rsid w:val="0065522F"/>
    <w:rsid w:val="00671FFB"/>
    <w:rsid w:val="00686700"/>
    <w:rsid w:val="006A30F7"/>
    <w:rsid w:val="006C42AD"/>
    <w:rsid w:val="006D78F3"/>
    <w:rsid w:val="00725345"/>
    <w:rsid w:val="00741CC0"/>
    <w:rsid w:val="007B512F"/>
    <w:rsid w:val="007F7512"/>
    <w:rsid w:val="00810894"/>
    <w:rsid w:val="008143AB"/>
    <w:rsid w:val="00820BD7"/>
    <w:rsid w:val="0083345F"/>
    <w:rsid w:val="00836667"/>
    <w:rsid w:val="00851ADE"/>
    <w:rsid w:val="00866554"/>
    <w:rsid w:val="00866D0F"/>
    <w:rsid w:val="00892B63"/>
    <w:rsid w:val="00895777"/>
    <w:rsid w:val="008C2F11"/>
    <w:rsid w:val="008D78B9"/>
    <w:rsid w:val="008E3F85"/>
    <w:rsid w:val="008E555F"/>
    <w:rsid w:val="009051E8"/>
    <w:rsid w:val="0090584D"/>
    <w:rsid w:val="0091244D"/>
    <w:rsid w:val="00914156"/>
    <w:rsid w:val="00916FF8"/>
    <w:rsid w:val="00922093"/>
    <w:rsid w:val="00930C85"/>
    <w:rsid w:val="00997ED4"/>
    <w:rsid w:val="009B38DA"/>
    <w:rsid w:val="009F2F53"/>
    <w:rsid w:val="009F4187"/>
    <w:rsid w:val="00A12E0F"/>
    <w:rsid w:val="00A51FAE"/>
    <w:rsid w:val="00A80845"/>
    <w:rsid w:val="00AB69F7"/>
    <w:rsid w:val="00AD097B"/>
    <w:rsid w:val="00AD64B9"/>
    <w:rsid w:val="00AE022B"/>
    <w:rsid w:val="00B009CC"/>
    <w:rsid w:val="00B0782A"/>
    <w:rsid w:val="00B45CD7"/>
    <w:rsid w:val="00B62B8C"/>
    <w:rsid w:val="00B63343"/>
    <w:rsid w:val="00B87FF7"/>
    <w:rsid w:val="00BA0B08"/>
    <w:rsid w:val="00BC0E82"/>
    <w:rsid w:val="00BD40F9"/>
    <w:rsid w:val="00BE089C"/>
    <w:rsid w:val="00BE2247"/>
    <w:rsid w:val="00C41C86"/>
    <w:rsid w:val="00C63A6C"/>
    <w:rsid w:val="00CA13AF"/>
    <w:rsid w:val="00CA1444"/>
    <w:rsid w:val="00CB1590"/>
    <w:rsid w:val="00CB7600"/>
    <w:rsid w:val="00CC0E9D"/>
    <w:rsid w:val="00CC3639"/>
    <w:rsid w:val="00D00B1D"/>
    <w:rsid w:val="00D00CB7"/>
    <w:rsid w:val="00D25A13"/>
    <w:rsid w:val="00D25F16"/>
    <w:rsid w:val="00D65674"/>
    <w:rsid w:val="00D865EA"/>
    <w:rsid w:val="00D868BB"/>
    <w:rsid w:val="00DA6BE0"/>
    <w:rsid w:val="00DB4514"/>
    <w:rsid w:val="00DE7026"/>
    <w:rsid w:val="00E12CE7"/>
    <w:rsid w:val="00E21CA9"/>
    <w:rsid w:val="00E31063"/>
    <w:rsid w:val="00E36FE9"/>
    <w:rsid w:val="00E40F16"/>
    <w:rsid w:val="00E73E98"/>
    <w:rsid w:val="00E75223"/>
    <w:rsid w:val="00E770D8"/>
    <w:rsid w:val="00E83BBD"/>
    <w:rsid w:val="00E90D72"/>
    <w:rsid w:val="00EA0BE1"/>
    <w:rsid w:val="00EC23AC"/>
    <w:rsid w:val="00EC2992"/>
    <w:rsid w:val="00EC3E94"/>
    <w:rsid w:val="00ED46A4"/>
    <w:rsid w:val="00ED6FD9"/>
    <w:rsid w:val="00EE3810"/>
    <w:rsid w:val="00F63C3B"/>
    <w:rsid w:val="00F959DB"/>
    <w:rsid w:val="00FB7826"/>
    <w:rsid w:val="00FD25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929B9"/>
  <w15:chartTrackingRefBased/>
  <w15:docId w15:val="{562FE031-139B-4C82-AEE7-13E3E224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bidi/>
      <w:adjustRightInd w:val="0"/>
      <w:textAlignment w:val="baseline"/>
    </w:pPr>
    <w:rPr>
      <w:rFonts w:cs="David"/>
      <w:szCs w:val="24"/>
    </w:rPr>
  </w:style>
  <w:style w:type="paragraph" w:styleId="1">
    <w:name w:val="heading 1"/>
    <w:basedOn w:val="Ruller40"/>
    <w:next w:val="Ruller41"/>
    <w:link w:val="10"/>
    <w:uiPriority w:val="9"/>
    <w:qFormat/>
    <w:rsid w:val="000F3C05"/>
    <w:pPr>
      <w:keepNext/>
      <w:tabs>
        <w:tab w:val="clear" w:pos="800"/>
      </w:tabs>
      <w:spacing w:beforeLines="150" w:before="150" w:afterLines="150" w:after="150"/>
      <w:jc w:val="left"/>
      <w:outlineLvl w:val="0"/>
    </w:pPr>
    <w:rPr>
      <w:rFonts w:ascii="Century" w:hAnsi="Century" w:cs="Miriam"/>
      <w:b/>
      <w:spacing w:val="0"/>
      <w:sz w:val="24"/>
      <w:szCs w:val="24"/>
    </w:rPr>
  </w:style>
  <w:style w:type="paragraph" w:styleId="5">
    <w:name w:val="heading 5"/>
    <w:basedOn w:val="a0"/>
    <w:next w:val="a0"/>
    <w:link w:val="50"/>
    <w:semiHidden/>
    <w:unhideWhenUsed/>
    <w:qFormat/>
    <w:rsid w:val="00D865EA"/>
    <w:pPr>
      <w:keepNext/>
      <w:keepLines/>
      <w:spacing w:before="40"/>
      <w:outlineLvl w:val="4"/>
    </w:pPr>
    <w:rPr>
      <w:rFonts w:ascii="Cambria" w:hAnsi="Cambria" w:cs="Times New Roman"/>
      <w:color w:val="365F91"/>
      <w:spacing w:val="1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Ruller3">
    <w:name w:val="Ruller 3"/>
    <w:basedOn w:val="a0"/>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0"/>
    <w:pPr>
      <w:spacing w:line="360" w:lineRule="auto"/>
    </w:pPr>
    <w:rPr>
      <w:b/>
      <w:bCs/>
      <w:u w:val="single"/>
    </w:rPr>
  </w:style>
  <w:style w:type="paragraph" w:customStyle="1" w:styleId="FileNumber">
    <w:name w:val="File Number"/>
    <w:basedOn w:val="a0"/>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0"/>
    <w:pPr>
      <w:jc w:val="center"/>
    </w:pPr>
    <w:rPr>
      <w:b/>
      <w:bCs/>
      <w:i/>
      <w:iCs/>
      <w:sz w:val="28"/>
      <w:szCs w:val="28"/>
    </w:rPr>
  </w:style>
  <w:style w:type="paragraph" w:customStyle="1" w:styleId="DocumentHead">
    <w:name w:val="Document Head"/>
    <w:basedOn w:val="a0"/>
    <w:pPr>
      <w:spacing w:line="360" w:lineRule="auto"/>
      <w:jc w:val="center"/>
    </w:pPr>
    <w:rPr>
      <w:bCs/>
      <w:spacing w:val="30"/>
      <w:szCs w:val="28"/>
      <w:u w:val="single"/>
    </w:rPr>
  </w:style>
  <w:style w:type="paragraph" w:customStyle="1" w:styleId="TfutzaList">
    <w:name w:val="Tfutza List"/>
    <w:basedOn w:val="a0"/>
    <w:rPr>
      <w:i/>
      <w:iCs/>
    </w:rPr>
  </w:style>
  <w:style w:type="paragraph" w:customStyle="1" w:styleId="Ruller40">
    <w:name w:val="Ruller4"/>
    <w:basedOn w:val="a0"/>
    <w:link w:val="Ruller42"/>
    <w:qFormat/>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0"/>
    <w:rsid w:val="00A51FAE"/>
    <w:pPr>
      <w:ind w:left="1642" w:right="1282"/>
      <w:jc w:val="both"/>
    </w:pPr>
    <w:rPr>
      <w:rFonts w:ascii="Arial TUR" w:hAnsi="Arial TUR" w:cs="FrankRuehl"/>
      <w:spacing w:val="10"/>
      <w:sz w:val="22"/>
      <w:szCs w:val="28"/>
    </w:rPr>
  </w:style>
  <w:style w:type="paragraph" w:customStyle="1" w:styleId="Ruller6">
    <w:name w:val="Ruller6"/>
    <w:basedOn w:val="a0"/>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0"/>
    <w:next w:val="Ruller40"/>
    <w:rPr>
      <w:rFonts w:cs="David"/>
      <w:b/>
      <w:bCs/>
      <w:u w:val="single"/>
    </w:rPr>
  </w:style>
  <w:style w:type="character" w:customStyle="1" w:styleId="Hand">
    <w:name w:val="Hand"/>
    <w:rPr>
      <w:rFonts w:cs="Guttman Yad"/>
    </w:rPr>
  </w:style>
  <w:style w:type="paragraph" w:styleId="a4">
    <w:name w:val="footer"/>
    <w:basedOn w:val="a0"/>
    <w:link w:val="a5"/>
    <w:pPr>
      <w:tabs>
        <w:tab w:val="center" w:pos="4153"/>
        <w:tab w:val="right" w:pos="8306"/>
      </w:tabs>
    </w:pPr>
  </w:style>
  <w:style w:type="character" w:styleId="a6">
    <w:name w:val="page number"/>
    <w:basedOn w:val="a1"/>
  </w:style>
  <w:style w:type="paragraph" w:styleId="a7">
    <w:name w:val="header"/>
    <w:basedOn w:val="a0"/>
    <w:link w:val="a8"/>
    <w:uiPriority w:val="99"/>
    <w:pPr>
      <w:tabs>
        <w:tab w:val="center" w:pos="4153"/>
        <w:tab w:val="right" w:pos="8306"/>
      </w:tabs>
    </w:pPr>
  </w:style>
  <w:style w:type="paragraph" w:customStyle="1" w:styleId="2">
    <w:name w:val="ñâðåï2"/>
    <w:basedOn w:val="a0"/>
    <w:pPr>
      <w:overflowPunct/>
      <w:textAlignment w:val="auto"/>
    </w:pPr>
    <w:rPr>
      <w:rFonts w:cs="Times New Roman"/>
    </w:rPr>
  </w:style>
  <w:style w:type="paragraph" w:customStyle="1" w:styleId="Casenameintextbody">
    <w:name w:val="Case name in text body"/>
    <w:basedOn w:val="a0"/>
    <w:pPr>
      <w:overflowPunct/>
      <w:jc w:val="right"/>
      <w:textAlignment w:val="auto"/>
    </w:pPr>
    <w:rPr>
      <w:rFonts w:cs="Times New Roman"/>
      <w:b/>
      <w:bCs/>
      <w:u w:val="single"/>
    </w:rPr>
  </w:style>
  <w:style w:type="paragraph" w:customStyle="1" w:styleId="precasestyle">
    <w:name w:val="pre_case style"/>
    <w:basedOn w:val="a0"/>
    <w:pPr>
      <w:tabs>
        <w:tab w:val="left" w:pos="2552"/>
      </w:tabs>
      <w:overflowPunct/>
      <w:ind w:right="2549"/>
      <w:textAlignment w:val="auto"/>
    </w:pPr>
    <w:rPr>
      <w:rFonts w:cs="Times New Roman"/>
    </w:rPr>
  </w:style>
  <w:style w:type="paragraph" w:customStyle="1" w:styleId="BodyRuller">
    <w:name w:val="Body Ruller"/>
    <w:basedOn w:val="a0"/>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0"/>
    <w:rsid w:val="00036227"/>
    <w:rPr>
      <w:rFonts w:cs="FrankRuehl"/>
      <w:spacing w:val="10"/>
      <w:sz w:val="22"/>
      <w:szCs w:val="28"/>
    </w:rPr>
  </w:style>
  <w:style w:type="character" w:styleId="Hyperlink">
    <w:name w:val="Hyperlink"/>
    <w:rsid w:val="003F1F97"/>
    <w:rPr>
      <w:color w:val="0000FF"/>
      <w:u w:val="single"/>
    </w:rPr>
  </w:style>
  <w:style w:type="table" w:styleId="a9">
    <w:name w:val="Table Grid"/>
    <w:basedOn w:val="a2"/>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1"/>
    <w:rsid w:val="0058440A"/>
    <w:rPr>
      <w:color w:val="954F72" w:themeColor="followedHyperlink"/>
      <w:u w:val="single"/>
    </w:rPr>
  </w:style>
  <w:style w:type="character" w:styleId="aa">
    <w:name w:val="annotation reference"/>
    <w:basedOn w:val="a1"/>
    <w:rsid w:val="00D00B1D"/>
    <w:rPr>
      <w:sz w:val="16"/>
      <w:szCs w:val="16"/>
    </w:rPr>
  </w:style>
  <w:style w:type="paragraph" w:styleId="ab">
    <w:name w:val="annotation text"/>
    <w:basedOn w:val="a0"/>
    <w:link w:val="ac"/>
    <w:rsid w:val="00D00B1D"/>
    <w:rPr>
      <w:szCs w:val="20"/>
    </w:rPr>
  </w:style>
  <w:style w:type="character" w:customStyle="1" w:styleId="ac">
    <w:name w:val="טקסט הערה תו"/>
    <w:basedOn w:val="a1"/>
    <w:link w:val="ab"/>
    <w:rsid w:val="00D00B1D"/>
    <w:rPr>
      <w:rFonts w:cs="David"/>
    </w:rPr>
  </w:style>
  <w:style w:type="paragraph" w:styleId="ad">
    <w:name w:val="annotation subject"/>
    <w:basedOn w:val="ab"/>
    <w:next w:val="ab"/>
    <w:link w:val="ae"/>
    <w:rsid w:val="00D00B1D"/>
    <w:rPr>
      <w:b/>
      <w:bCs/>
    </w:rPr>
  </w:style>
  <w:style w:type="character" w:customStyle="1" w:styleId="ae">
    <w:name w:val="נושא הערה תו"/>
    <w:basedOn w:val="ac"/>
    <w:link w:val="ad"/>
    <w:rsid w:val="00D00B1D"/>
    <w:rPr>
      <w:rFonts w:cs="David"/>
      <w:b/>
      <w:bCs/>
    </w:rPr>
  </w:style>
  <w:style w:type="paragraph" w:styleId="af">
    <w:name w:val="Balloon Text"/>
    <w:basedOn w:val="a0"/>
    <w:link w:val="af0"/>
    <w:rsid w:val="00D00B1D"/>
    <w:rPr>
      <w:rFonts w:ascii="Tahoma" w:hAnsi="Tahoma" w:cs="Tahoma"/>
      <w:sz w:val="18"/>
      <w:szCs w:val="18"/>
    </w:rPr>
  </w:style>
  <w:style w:type="character" w:customStyle="1" w:styleId="af0">
    <w:name w:val="טקסט בלונים תו"/>
    <w:basedOn w:val="a1"/>
    <w:link w:val="af"/>
    <w:rsid w:val="00D00B1D"/>
    <w:rPr>
      <w:rFonts w:ascii="Tahoma" w:hAnsi="Tahoma" w:cs="Tahoma"/>
      <w:sz w:val="18"/>
      <w:szCs w:val="18"/>
    </w:rPr>
  </w:style>
  <w:style w:type="character" w:customStyle="1" w:styleId="10">
    <w:name w:val="כותרת 1 תו"/>
    <w:basedOn w:val="a1"/>
    <w:link w:val="1"/>
    <w:uiPriority w:val="9"/>
    <w:rsid w:val="000F3C05"/>
    <w:rPr>
      <w:rFonts w:ascii="Century" w:hAnsi="Century" w:cs="Miriam"/>
      <w:b/>
      <w:sz w:val="24"/>
      <w:szCs w:val="24"/>
    </w:rPr>
  </w:style>
  <w:style w:type="paragraph" w:customStyle="1" w:styleId="Ruller41">
    <w:name w:val="Ruller 4 ממוספר"/>
    <w:basedOn w:val="Ruller40"/>
    <w:next w:val="Ruller40"/>
    <w:rsid w:val="000F3C05"/>
    <w:pPr>
      <w:spacing w:after="420"/>
    </w:pPr>
    <w:rPr>
      <w:rFonts w:ascii="Garamond" w:hAnsi="Garamond"/>
      <w:sz w:val="28"/>
    </w:rPr>
  </w:style>
  <w:style w:type="character" w:styleId="af1">
    <w:name w:val="Emphasis"/>
    <w:uiPriority w:val="20"/>
    <w:qFormat/>
    <w:rsid w:val="000F3C05"/>
    <w:rPr>
      <w:rFonts w:ascii="Century" w:hAnsi="Century" w:cs="Miriam"/>
      <w:b/>
      <w:spacing w:val="0"/>
      <w:szCs w:val="24"/>
    </w:rPr>
  </w:style>
  <w:style w:type="paragraph" w:styleId="af2">
    <w:name w:val="Quote"/>
    <w:basedOn w:val="a0"/>
    <w:next w:val="a0"/>
    <w:link w:val="af3"/>
    <w:uiPriority w:val="29"/>
    <w:qFormat/>
    <w:rsid w:val="000F3C05"/>
    <w:pPr>
      <w:spacing w:after="420"/>
      <w:ind w:left="1644" w:right="1276"/>
      <w:contextualSpacing/>
      <w:jc w:val="both"/>
    </w:pPr>
    <w:rPr>
      <w:rFonts w:ascii="Arial TUR" w:hAnsi="Arial TUR" w:cs="FrankRuehl"/>
      <w:spacing w:val="10"/>
      <w:sz w:val="22"/>
      <w:szCs w:val="28"/>
    </w:rPr>
  </w:style>
  <w:style w:type="character" w:customStyle="1" w:styleId="af3">
    <w:name w:val="ציטוט תו"/>
    <w:basedOn w:val="a1"/>
    <w:link w:val="af2"/>
    <w:uiPriority w:val="29"/>
    <w:rsid w:val="000F3C05"/>
    <w:rPr>
      <w:rFonts w:ascii="Arial TUR" w:hAnsi="Arial TUR" w:cs="FrankRuehl"/>
      <w:spacing w:val="10"/>
      <w:sz w:val="22"/>
      <w:szCs w:val="28"/>
    </w:rPr>
  </w:style>
  <w:style w:type="paragraph" w:styleId="af4">
    <w:name w:val="List Paragraph"/>
    <w:basedOn w:val="Ruller41"/>
    <w:uiPriority w:val="34"/>
    <w:qFormat/>
    <w:rsid w:val="000F3C05"/>
  </w:style>
  <w:style w:type="character" w:customStyle="1" w:styleId="a5">
    <w:name w:val="כותרת תחתונה תו"/>
    <w:link w:val="a4"/>
    <w:rsid w:val="000F3C05"/>
    <w:rPr>
      <w:rFonts w:cs="David"/>
      <w:szCs w:val="24"/>
    </w:rPr>
  </w:style>
  <w:style w:type="character" w:customStyle="1" w:styleId="a8">
    <w:name w:val="כותרת עליונה תו"/>
    <w:link w:val="a7"/>
    <w:uiPriority w:val="99"/>
    <w:rsid w:val="000F3C05"/>
    <w:rPr>
      <w:rFonts w:cs="David"/>
      <w:szCs w:val="24"/>
    </w:rPr>
  </w:style>
  <w:style w:type="paragraph" w:customStyle="1" w:styleId="af5">
    <w:name w:val="ממוספר"/>
    <w:basedOn w:val="Ruller40"/>
    <w:next w:val="Ruller40"/>
    <w:rsid w:val="000F3C05"/>
    <w:pPr>
      <w:spacing w:after="420"/>
    </w:pPr>
    <w:rPr>
      <w:rFonts w:ascii="Garamond" w:hAnsi="Garamond"/>
      <w:sz w:val="28"/>
    </w:rPr>
  </w:style>
  <w:style w:type="paragraph" w:customStyle="1" w:styleId="a">
    <w:name w:val="פסקה ממוספרת"/>
    <w:basedOn w:val="af6"/>
    <w:next w:val="af6"/>
    <w:rsid w:val="000F3C05"/>
    <w:pPr>
      <w:numPr>
        <w:numId w:val="11"/>
      </w:numPr>
    </w:pPr>
  </w:style>
  <w:style w:type="paragraph" w:customStyle="1" w:styleId="af6">
    <w:name w:val="פסקה לא ממוספרת"/>
    <w:basedOn w:val="Ruller40"/>
    <w:qFormat/>
    <w:rsid w:val="000F3C05"/>
    <w:pPr>
      <w:spacing w:after="420"/>
      <w:ind w:firstLine="799"/>
    </w:pPr>
    <w:rPr>
      <w:rFonts w:ascii="Garamond" w:hAnsi="Garamond"/>
      <w:sz w:val="24"/>
    </w:rPr>
  </w:style>
  <w:style w:type="character" w:customStyle="1" w:styleId="af7">
    <w:name w:val="גופן_רגיל"/>
    <w:uiPriority w:val="1"/>
    <w:qFormat/>
    <w:rsid w:val="000F3C05"/>
    <w:rPr>
      <w:rFonts w:ascii="Garamond" w:hAnsi="Garamond"/>
      <w:sz w:val="24"/>
    </w:rPr>
  </w:style>
  <w:style w:type="paragraph" w:customStyle="1" w:styleId="Ruller4">
    <w:name w:val="Ruller4 אלפביתי"/>
    <w:basedOn w:val="Ruller40"/>
    <w:next w:val="Ruller40"/>
    <w:rsid w:val="000F3C05"/>
    <w:pPr>
      <w:numPr>
        <w:numId w:val="12"/>
      </w:numPr>
    </w:pPr>
  </w:style>
  <w:style w:type="paragraph" w:styleId="af8">
    <w:name w:val="Revision"/>
    <w:hidden/>
    <w:uiPriority w:val="99"/>
    <w:semiHidden/>
    <w:rsid w:val="000F3C05"/>
    <w:rPr>
      <w:rFonts w:ascii="Century" w:hAnsi="Century" w:cs="FrankRuehl"/>
      <w:spacing w:val="10"/>
      <w:szCs w:val="28"/>
    </w:rPr>
  </w:style>
  <w:style w:type="character" w:customStyle="1" w:styleId="50">
    <w:name w:val="כותרת 5 תו"/>
    <w:basedOn w:val="a1"/>
    <w:link w:val="5"/>
    <w:semiHidden/>
    <w:rsid w:val="00D865EA"/>
    <w:rPr>
      <w:rFonts w:ascii="Cambria" w:hAnsi="Cambria"/>
      <w:color w:val="365F91"/>
      <w:spacing w:val="10"/>
      <w:szCs w:val="28"/>
    </w:rPr>
  </w:style>
  <w:style w:type="character" w:customStyle="1" w:styleId="9">
    <w:name w:val="סגנון9 תו"/>
    <w:link w:val="90"/>
    <w:locked/>
    <w:rsid w:val="00D865EA"/>
    <w:rPr>
      <w:rFonts w:ascii="Arial TUR" w:hAnsi="Arial TUR" w:cs="FrankRuehl"/>
      <w:spacing w:val="10"/>
      <w:sz w:val="22"/>
      <w:szCs w:val="28"/>
    </w:rPr>
  </w:style>
  <w:style w:type="paragraph" w:customStyle="1" w:styleId="90">
    <w:name w:val="סגנון9"/>
    <w:basedOn w:val="a0"/>
    <w:link w:val="9"/>
    <w:autoRedefine/>
    <w:qFormat/>
    <w:rsid w:val="00D865EA"/>
    <w:pPr>
      <w:tabs>
        <w:tab w:val="left" w:pos="720"/>
        <w:tab w:val="left" w:pos="800"/>
      </w:tabs>
      <w:spacing w:line="360" w:lineRule="auto"/>
      <w:jc w:val="both"/>
      <w:textAlignment w:val="auto"/>
    </w:pPr>
    <w:rPr>
      <w:rFonts w:ascii="Arial TUR" w:hAnsi="Arial TUR" w:cs="FrankRuehl"/>
      <w:spacing w:val="10"/>
      <w:sz w:val="22"/>
      <w:szCs w:val="28"/>
    </w:rPr>
  </w:style>
  <w:style w:type="paragraph" w:customStyle="1" w:styleId="51">
    <w:name w:val="כותרת 51"/>
    <w:basedOn w:val="a0"/>
    <w:next w:val="a0"/>
    <w:semiHidden/>
    <w:unhideWhenUsed/>
    <w:qFormat/>
    <w:rsid w:val="00D865EA"/>
    <w:pPr>
      <w:keepNext/>
      <w:keepLines/>
      <w:spacing w:before="40" w:line="360" w:lineRule="auto"/>
      <w:outlineLvl w:val="4"/>
    </w:pPr>
    <w:rPr>
      <w:rFonts w:ascii="Cambria" w:hAnsi="Cambria" w:cs="Times New Roman"/>
      <w:color w:val="365F91"/>
      <w:spacing w:val="10"/>
      <w:szCs w:val="28"/>
    </w:rPr>
  </w:style>
  <w:style w:type="numbering" w:customStyle="1" w:styleId="11">
    <w:name w:val="ללא רשימה1"/>
    <w:next w:val="a3"/>
    <w:uiPriority w:val="99"/>
    <w:semiHidden/>
    <w:unhideWhenUsed/>
    <w:rsid w:val="00D865EA"/>
  </w:style>
  <w:style w:type="character" w:styleId="af9">
    <w:name w:val="line number"/>
    <w:basedOn w:val="a1"/>
    <w:rsid w:val="00D865EA"/>
  </w:style>
  <w:style w:type="character" w:customStyle="1" w:styleId="12">
    <w:name w:val="אזכור לא מזוהה1"/>
    <w:basedOn w:val="a1"/>
    <w:uiPriority w:val="99"/>
    <w:semiHidden/>
    <w:unhideWhenUsed/>
    <w:rsid w:val="00D865EA"/>
    <w:rPr>
      <w:color w:val="605E5C"/>
      <w:shd w:val="clear" w:color="auto" w:fill="E1DFDD"/>
    </w:rPr>
  </w:style>
  <w:style w:type="paragraph" w:customStyle="1" w:styleId="afa">
    <w:name w:val="כללי"/>
    <w:basedOn w:val="a0"/>
    <w:rsid w:val="00D865EA"/>
    <w:pPr>
      <w:widowControl w:val="0"/>
      <w:spacing w:after="210" w:line="270" w:lineRule="exact"/>
      <w:ind w:firstLine="284"/>
      <w:jc w:val="both"/>
    </w:pPr>
    <w:rPr>
      <w:rFonts w:cs="FrankRuehl"/>
      <w:lang w:eastAsia="he-IL"/>
    </w:rPr>
  </w:style>
  <w:style w:type="paragraph" w:customStyle="1" w:styleId="afb">
    <w:name w:val="תו"/>
    <w:basedOn w:val="a0"/>
    <w:semiHidden/>
    <w:rsid w:val="00D865EA"/>
    <w:pPr>
      <w:overflowPunct/>
      <w:autoSpaceDE/>
      <w:autoSpaceDN/>
      <w:bidi w:val="0"/>
      <w:adjustRightInd/>
      <w:spacing w:after="160" w:line="240" w:lineRule="exact"/>
      <w:textAlignment w:val="auto"/>
    </w:pPr>
    <w:rPr>
      <w:rFonts w:ascii="Arial" w:eastAsia="MS Mincho" w:hAnsi="Arial" w:cs="Arial"/>
      <w:noProof/>
      <w:szCs w:val="20"/>
      <w:lang w:bidi="ar-SA"/>
    </w:rPr>
  </w:style>
  <w:style w:type="character" w:customStyle="1" w:styleId="510">
    <w:name w:val="כותרת 5 תו1"/>
    <w:basedOn w:val="a1"/>
    <w:semiHidden/>
    <w:rsid w:val="00D865EA"/>
    <w:rPr>
      <w:rFonts w:asciiTheme="majorHAnsi" w:eastAsiaTheme="majorEastAsia" w:hAnsiTheme="majorHAnsi" w:cstheme="majorBidi"/>
      <w:color w:val="2E74B5" w:themeColor="accent1" w:themeShade="BF"/>
      <w:szCs w:val="24"/>
    </w:rPr>
  </w:style>
  <w:style w:type="character" w:customStyle="1" w:styleId="Ruller42">
    <w:name w:val="Ruller4 תו"/>
    <w:basedOn w:val="a1"/>
    <w:link w:val="Ruller40"/>
    <w:locked/>
    <w:rsid w:val="00D865EA"/>
    <w:rPr>
      <w:rFonts w:ascii="Arial TUR" w:hAnsi="Arial TUR" w:cs="FrankRuehl"/>
      <w:spacing w:val="1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upreme.court.gov.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19898</Words>
  <Characters>99494</Characters>
  <Application>Microsoft Office Word</Application>
  <DocSecurity>0</DocSecurity>
  <Lines>829</Lines>
  <Paragraphs>238</Paragraphs>
  <ScaleCrop>false</ScaleCrop>
  <HeadingPairs>
    <vt:vector size="2" baseType="variant">
      <vt:variant>
        <vt:lpstr>שם</vt:lpstr>
      </vt:variant>
      <vt:variant>
        <vt:i4>1</vt:i4>
      </vt:variant>
    </vt:vector>
  </HeadingPairs>
  <TitlesOfParts>
    <vt:vector size="1" baseType="lpstr">
      <vt:lpstr>פסק-דין בתיק רע"פ  6477/20</vt:lpstr>
    </vt:vector>
  </TitlesOfParts>
  <Company/>
  <LinksUpToDate>false</LinksUpToDate>
  <CharactersWithSpaces>119154</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2021-11-15T09:00:44Z</cp:lastPrinted>
  <dcterms:created xsi:type="dcterms:W3CDTF">2021-11-15T09:00:44Z</dcterms:created>
  <dcterms:modified xsi:type="dcterms:W3CDTF">2021-11-15T09:00:44Z</dcterms:modified>
</cp:coreProperties>
</file>