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363" w:type="dxa"/>
        <w:tblInd w:w="9" w:type="dxa"/>
        <w:tblLook w:val="0000" w:firstRow="0" w:lastRow="0" w:firstColumn="0" w:lastColumn="0" w:noHBand="0" w:noVBand="0"/>
      </w:tblPr>
      <w:tblGrid>
        <w:gridCol w:w="8363"/>
      </w:tblGrid>
      <w:tr w:rsidR="00036227" w:rsidTr="00C52B42">
        <w:tc>
          <w:tcPr>
            <w:tcW w:w="8363" w:type="dxa"/>
          </w:tcPr>
          <w:p w:rsidR="00916FF8" w:rsidRPr="00624A42" w:rsidRDefault="00130EF4" w:rsidP="004C7868">
            <w:pPr>
              <w:pStyle w:val="FileNumber0"/>
              <w:rPr>
                <w:sz w:val="28"/>
                <w:u w:val="single"/>
                <w:rtl/>
              </w:rPr>
            </w:pPr>
            <w:r>
              <w:rPr>
                <w:u w:val="single"/>
                <w:rtl/>
              </w:rPr>
              <w:t>בבית המשפט העליון בשבתו כבית משפט גבוה לצדק</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130EF4">
            <w:pPr>
              <w:pStyle w:val="FileNumber"/>
              <w:rPr>
                <w:sz w:val="28"/>
                <w:szCs w:val="28"/>
              </w:rPr>
            </w:pPr>
            <w:bookmarkStart w:id="0" w:name="casename_body"/>
            <w:r>
              <w:rPr>
                <w:sz w:val="28"/>
                <w:szCs w:val="28"/>
                <w:rtl/>
              </w:rPr>
              <w:t>בג"ץ  1420/22</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130EF4">
            <w:pPr>
              <w:pStyle w:val="BodyRuller"/>
            </w:pPr>
            <w:r>
              <w:rPr>
                <w:rtl/>
              </w:rPr>
              <w:t>כבוד השופט נ' סולברג</w:t>
            </w:r>
          </w:p>
        </w:tc>
      </w:tr>
      <w:tr w:rsidR="00130EF4" w:rsidTr="00EC23AC">
        <w:trPr>
          <w:trHeight w:val="287"/>
        </w:trPr>
        <w:tc>
          <w:tcPr>
            <w:tcW w:w="3261" w:type="dxa"/>
          </w:tcPr>
          <w:p w:rsidR="00130EF4" w:rsidRDefault="00130EF4">
            <w:pPr>
              <w:pStyle w:val="BodyRuller"/>
              <w:rPr>
                <w:rtl/>
              </w:rPr>
            </w:pPr>
          </w:p>
        </w:tc>
        <w:tc>
          <w:tcPr>
            <w:tcW w:w="5239" w:type="dxa"/>
          </w:tcPr>
          <w:p w:rsidR="00130EF4" w:rsidRDefault="00130EF4">
            <w:pPr>
              <w:pStyle w:val="BodyRuller"/>
              <w:rPr>
                <w:rtl/>
              </w:rPr>
            </w:pPr>
            <w:r>
              <w:rPr>
                <w:rtl/>
              </w:rPr>
              <w:t>כבוד השופטת ע' ברון</w:t>
            </w:r>
          </w:p>
        </w:tc>
      </w:tr>
      <w:tr w:rsidR="00130EF4" w:rsidTr="00EC23AC">
        <w:trPr>
          <w:trHeight w:val="287"/>
        </w:trPr>
        <w:tc>
          <w:tcPr>
            <w:tcW w:w="3261" w:type="dxa"/>
          </w:tcPr>
          <w:p w:rsidR="00130EF4" w:rsidRDefault="00130EF4">
            <w:pPr>
              <w:pStyle w:val="BodyRuller"/>
              <w:rPr>
                <w:rtl/>
              </w:rPr>
            </w:pPr>
          </w:p>
        </w:tc>
        <w:tc>
          <w:tcPr>
            <w:tcW w:w="5239" w:type="dxa"/>
          </w:tcPr>
          <w:p w:rsidR="00130EF4" w:rsidRDefault="00130EF4">
            <w:pPr>
              <w:pStyle w:val="BodyRuller"/>
              <w:rPr>
                <w:rtl/>
              </w:rPr>
            </w:pPr>
            <w:r>
              <w:rPr>
                <w:rtl/>
              </w:rPr>
              <w:t>כבוד השופט ע' גרוסקופף</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523686" w:rsidTr="00E2305E">
        <w:trPr>
          <w:trHeight w:val="287"/>
        </w:trPr>
        <w:tc>
          <w:tcPr>
            <w:tcW w:w="3261" w:type="dxa"/>
          </w:tcPr>
          <w:p w:rsidR="00523686" w:rsidRPr="00523686" w:rsidRDefault="00130EF4" w:rsidP="00E2305E">
            <w:pPr>
              <w:pStyle w:val="BodyRuller"/>
              <w:rPr>
                <w:rFonts w:ascii="David" w:hAnsi="David"/>
              </w:rPr>
            </w:pPr>
            <w:r>
              <w:rPr>
                <w:rFonts w:ascii="David" w:hAnsi="David"/>
                <w:rtl/>
              </w:rPr>
              <w:t>העותר</w:t>
            </w:r>
            <w:r w:rsidR="00A06A38">
              <w:rPr>
                <w:rFonts w:ascii="David" w:hAnsi="David" w:hint="cs"/>
                <w:rtl/>
              </w:rPr>
              <w:t>ת</w:t>
            </w:r>
            <w:r>
              <w:rPr>
                <w:rFonts w:ascii="David" w:hAnsi="David"/>
                <w:rtl/>
              </w:rPr>
              <w:t>:</w:t>
            </w:r>
          </w:p>
        </w:tc>
        <w:tc>
          <w:tcPr>
            <w:tcW w:w="5239" w:type="dxa"/>
          </w:tcPr>
          <w:p w:rsidR="00523686" w:rsidRDefault="00130EF4" w:rsidP="00E2305E">
            <w:pPr>
              <w:pStyle w:val="BodyRuller"/>
            </w:pPr>
            <w:r>
              <w:rPr>
                <w:rtl/>
              </w:rPr>
              <w:t>פלוני</w:t>
            </w:r>
            <w:r w:rsidR="00A06A38">
              <w:rPr>
                <w:rFonts w:hint="cs"/>
                <w:rtl/>
              </w:rPr>
              <w:t>ת</w:t>
            </w:r>
          </w:p>
        </w:tc>
      </w:tr>
    </w:tbl>
    <w:p w:rsidR="00916FF8" w:rsidRDefault="00916FF8">
      <w:pPr>
        <w:pStyle w:val="Ruller3"/>
      </w:pPr>
      <w:r>
        <w:tab/>
      </w: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r>
        <w:tab/>
      </w:r>
      <w:r>
        <w:tab/>
      </w:r>
      <w:r>
        <w:tab/>
        <w:t xml:space="preserve">     </w:t>
      </w:r>
    </w:p>
    <w:tbl>
      <w:tblPr>
        <w:bidiVisual/>
        <w:tblW w:w="8364" w:type="dxa"/>
        <w:tblLayout w:type="fixed"/>
        <w:tblLook w:val="0000" w:firstRow="0" w:lastRow="0" w:firstColumn="0" w:lastColumn="0" w:noHBand="0" w:noVBand="0"/>
      </w:tblPr>
      <w:tblGrid>
        <w:gridCol w:w="3210"/>
        <w:gridCol w:w="5154"/>
      </w:tblGrid>
      <w:tr w:rsidR="00523686" w:rsidTr="00E2305E">
        <w:trPr>
          <w:trHeight w:val="287"/>
        </w:trPr>
        <w:tc>
          <w:tcPr>
            <w:tcW w:w="3261" w:type="dxa"/>
          </w:tcPr>
          <w:p w:rsidR="00523686" w:rsidRPr="00523686" w:rsidRDefault="00130EF4" w:rsidP="00E2305E">
            <w:pPr>
              <w:pStyle w:val="BodyRuller"/>
              <w:rPr>
                <w:rFonts w:ascii="David" w:hAnsi="David"/>
              </w:rPr>
            </w:pPr>
            <w:r>
              <w:rPr>
                <w:rFonts w:ascii="David" w:hAnsi="David"/>
                <w:rtl/>
              </w:rPr>
              <w:t>המשיב:</w:t>
            </w:r>
          </w:p>
        </w:tc>
        <w:tc>
          <w:tcPr>
            <w:tcW w:w="5239" w:type="dxa"/>
          </w:tcPr>
          <w:p w:rsidR="00523686" w:rsidRDefault="00130EF4" w:rsidP="00E2305E">
            <w:pPr>
              <w:pStyle w:val="BodyRuller"/>
            </w:pPr>
            <w:r>
              <w:rPr>
                <w:rtl/>
              </w:rPr>
              <w:t>נציב תלונות הציבור על מייצגי המדינה בערכאות</w:t>
            </w:r>
          </w:p>
        </w:tc>
      </w:tr>
    </w:tbl>
    <w:p w:rsidR="00916FF8" w:rsidRDefault="00E36FE9">
      <w:pPr>
        <w:pStyle w:val="Ruller3"/>
      </w:pPr>
      <w:r>
        <w:rPr>
          <w:rFonts w:hint="cs"/>
          <w:rtl/>
        </w:rPr>
        <w:tab/>
      </w:r>
    </w:p>
    <w:tbl>
      <w:tblPr>
        <w:bidiVisual/>
        <w:tblW w:w="0" w:type="auto"/>
        <w:tblInd w:w="3209" w:type="dxa"/>
        <w:tblLook w:val="0000" w:firstRow="0" w:lastRow="0" w:firstColumn="0" w:lastColumn="0" w:noHBand="0" w:noVBand="0"/>
      </w:tblPr>
      <w:tblGrid>
        <w:gridCol w:w="4915"/>
      </w:tblGrid>
      <w:tr w:rsidR="00036227" w:rsidTr="00CA1444">
        <w:tc>
          <w:tcPr>
            <w:tcW w:w="5103" w:type="dxa"/>
          </w:tcPr>
          <w:p w:rsidR="00916FF8" w:rsidRPr="00265F6E" w:rsidRDefault="00A06A38">
            <w:pPr>
              <w:pStyle w:val="BodyRuller"/>
              <w:rPr>
                <w:sz w:val="24"/>
                <w:szCs w:val="24"/>
              </w:rPr>
            </w:pPr>
            <w:r>
              <w:rPr>
                <w:rFonts w:hint="cs"/>
                <w:sz w:val="24"/>
                <w:szCs w:val="24"/>
                <w:rtl/>
              </w:rPr>
              <w:t>עתירה לצו על-תנאי ובקשה לצו ביניים</w:t>
            </w:r>
          </w:p>
        </w:tc>
      </w:tr>
    </w:tbl>
    <w:p w:rsidR="00916FF8" w:rsidRDefault="00E36FE9">
      <w:pPr>
        <w:pStyle w:val="Ruller3"/>
        <w:rPr>
          <w:rtl/>
        </w:rPr>
      </w:pPr>
      <w:r>
        <w:rPr>
          <w:rFonts w:hint="cs"/>
          <w:rtl/>
        </w:rPr>
        <w:tab/>
      </w: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5150"/>
      </w:tblGrid>
      <w:tr w:rsidR="00036227" w:rsidTr="009973CC">
        <w:tc>
          <w:tcPr>
            <w:tcW w:w="3213" w:type="dxa"/>
            <w:tcBorders>
              <w:top w:val="nil"/>
              <w:left w:val="nil"/>
              <w:bottom w:val="nil"/>
              <w:right w:val="nil"/>
            </w:tcBorders>
          </w:tcPr>
          <w:p w:rsidR="00036227" w:rsidRDefault="00130EF4">
            <w:pPr>
              <w:pStyle w:val="BodyRuller"/>
            </w:pPr>
            <w:r>
              <w:rPr>
                <w:rtl/>
              </w:rPr>
              <w:t>בשם העותר</w:t>
            </w:r>
            <w:r w:rsidR="00C52B42">
              <w:rPr>
                <w:rFonts w:hint="cs"/>
                <w:rtl/>
              </w:rPr>
              <w:t>ת</w:t>
            </w:r>
            <w:r>
              <w:rPr>
                <w:rtl/>
              </w:rPr>
              <w:t>:</w:t>
            </w:r>
          </w:p>
        </w:tc>
        <w:tc>
          <w:tcPr>
            <w:tcW w:w="5150" w:type="dxa"/>
            <w:tcBorders>
              <w:top w:val="nil"/>
              <w:left w:val="nil"/>
              <w:bottom w:val="nil"/>
              <w:right w:val="nil"/>
            </w:tcBorders>
          </w:tcPr>
          <w:p w:rsidR="00036227" w:rsidRDefault="00130EF4" w:rsidP="00A06A38">
            <w:pPr>
              <w:pStyle w:val="BodyRuller"/>
            </w:pPr>
            <w:r>
              <w:rPr>
                <w:rtl/>
              </w:rPr>
              <w:t xml:space="preserve">עו"ד </w:t>
            </w:r>
            <w:r w:rsidR="00A06A38">
              <w:rPr>
                <w:rFonts w:hint="cs"/>
                <w:rtl/>
              </w:rPr>
              <w:t xml:space="preserve">לירן </w:t>
            </w:r>
            <w:r>
              <w:rPr>
                <w:rtl/>
              </w:rPr>
              <w:t xml:space="preserve">זילברמן </w:t>
            </w:r>
          </w:p>
        </w:tc>
      </w:tr>
    </w:tbl>
    <w:p w:rsidR="00916FF8" w:rsidRDefault="00916FF8">
      <w:pPr>
        <w:pStyle w:val="Ruller3"/>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1"/>
        <w:gridCol w:w="5152"/>
      </w:tblGrid>
      <w:tr w:rsidR="00036227" w:rsidTr="00D00B1D">
        <w:tc>
          <w:tcPr>
            <w:tcW w:w="3257" w:type="dxa"/>
            <w:tcBorders>
              <w:top w:val="nil"/>
              <w:left w:val="nil"/>
              <w:bottom w:val="nil"/>
              <w:right w:val="nil"/>
            </w:tcBorders>
          </w:tcPr>
          <w:p w:rsidR="00036227" w:rsidRDefault="00130EF4">
            <w:pPr>
              <w:pStyle w:val="BodyRuller"/>
            </w:pPr>
            <w:r>
              <w:rPr>
                <w:rtl/>
              </w:rPr>
              <w:t>בשם המשיב:</w:t>
            </w:r>
          </w:p>
        </w:tc>
        <w:tc>
          <w:tcPr>
            <w:tcW w:w="5238" w:type="dxa"/>
            <w:tcBorders>
              <w:top w:val="nil"/>
              <w:left w:val="nil"/>
              <w:bottom w:val="nil"/>
              <w:right w:val="nil"/>
            </w:tcBorders>
          </w:tcPr>
          <w:p w:rsidR="00036227" w:rsidRDefault="00A06A38" w:rsidP="00A06A38">
            <w:pPr>
              <w:pStyle w:val="BodyRuller"/>
            </w:pPr>
            <w:r>
              <w:rPr>
                <w:rtl/>
              </w:rPr>
              <w:t>עו"ד מלכיאל</w:t>
            </w:r>
            <w:r>
              <w:rPr>
                <w:rFonts w:hint="cs"/>
                <w:rtl/>
              </w:rPr>
              <w:t xml:space="preserve"> </w:t>
            </w:r>
            <w:r>
              <w:rPr>
                <w:rtl/>
              </w:rPr>
              <w:t>בלס</w:t>
            </w:r>
          </w:p>
        </w:tc>
      </w:tr>
      <w:tr w:rsidR="00130EF4" w:rsidTr="00D00B1D">
        <w:tc>
          <w:tcPr>
            <w:tcW w:w="3257" w:type="dxa"/>
            <w:tcBorders>
              <w:top w:val="nil"/>
              <w:left w:val="nil"/>
              <w:bottom w:val="nil"/>
              <w:right w:val="nil"/>
            </w:tcBorders>
          </w:tcPr>
          <w:p w:rsidR="00130EF4" w:rsidRDefault="00130EF4">
            <w:pPr>
              <w:pStyle w:val="BodyRuller"/>
            </w:pPr>
          </w:p>
        </w:tc>
        <w:tc>
          <w:tcPr>
            <w:tcW w:w="5238" w:type="dxa"/>
            <w:tcBorders>
              <w:top w:val="nil"/>
              <w:left w:val="nil"/>
              <w:bottom w:val="nil"/>
              <w:right w:val="nil"/>
            </w:tcBorders>
          </w:tcPr>
          <w:p w:rsidR="00130EF4" w:rsidRDefault="00130EF4">
            <w:pPr>
              <w:pStyle w:val="BodyRuller"/>
              <w:rPr>
                <w:rtl/>
              </w:rPr>
            </w:pPr>
          </w:p>
        </w:tc>
      </w:tr>
    </w:tbl>
    <w:p w:rsidR="00916FF8" w:rsidRDefault="00916FF8">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130EF4">
            <w:pPr>
              <w:pStyle w:val="DocumentHead"/>
            </w:pPr>
            <w:bookmarkStart w:id="1" w:name="secretary"/>
            <w:bookmarkStart w:id="2" w:name="BeginProtocol"/>
            <w:bookmarkEnd w:id="1"/>
            <w:bookmarkEnd w:id="2"/>
            <w:r>
              <w:rPr>
                <w:rtl/>
              </w:rPr>
              <w:t>פסק-דין</w:t>
            </w:r>
          </w:p>
        </w:tc>
      </w:tr>
    </w:tbl>
    <w:p w:rsidR="0065522F" w:rsidRDefault="0065522F">
      <w:pPr>
        <w:pStyle w:val="BODYVERDICT"/>
      </w:pPr>
    </w:p>
    <w:p w:rsidR="00916FF8" w:rsidRPr="00503A3E" w:rsidRDefault="00130EF4">
      <w:pPr>
        <w:pStyle w:val="BODYVERDICT"/>
        <w:rPr>
          <w:rFonts w:cs="Miriam"/>
          <w:sz w:val="24"/>
          <w:szCs w:val="24"/>
          <w:u w:val="single"/>
          <w:rtl/>
        </w:rPr>
      </w:pPr>
      <w:bookmarkStart w:id="3" w:name="Writer_Name"/>
      <w:bookmarkEnd w:id="3"/>
      <w:r>
        <w:rPr>
          <w:rFonts w:cs="Miriam"/>
          <w:sz w:val="24"/>
          <w:szCs w:val="24"/>
          <w:u w:val="single"/>
          <w:rtl/>
        </w:rPr>
        <w:t>השופט ע' גרוסקופף:</w:t>
      </w:r>
    </w:p>
    <w:p w:rsidR="000B1478" w:rsidRDefault="000B1478" w:rsidP="00A51FAE">
      <w:pPr>
        <w:pStyle w:val="Ruller40"/>
        <w:rPr>
          <w:rtl/>
        </w:rPr>
      </w:pPr>
      <w:bookmarkStart w:id="4" w:name="Start_Write"/>
      <w:bookmarkEnd w:id="4"/>
    </w:p>
    <w:p w:rsidR="009973CC" w:rsidRDefault="009973CC" w:rsidP="007D2F65">
      <w:pPr>
        <w:pStyle w:val="Ruller40"/>
        <w:rPr>
          <w:rtl/>
        </w:rPr>
      </w:pPr>
      <w:r>
        <w:rPr>
          <w:rtl/>
        </w:rPr>
        <w:tab/>
      </w:r>
      <w:r>
        <w:rPr>
          <w:rFonts w:hint="cs"/>
          <w:rtl/>
        </w:rPr>
        <w:t xml:space="preserve">לפנינו עתירה למתן צו על תנאי ובקשה לצו ביניים בהן מתבקש בית משפט זה להורות למשיב, נציב תלונות הציבור על מייצגי המדינה בערכאות, להפסיק בירורה של תלונה אשר הוגשה נגד העותרת, קצינת חקירות במשטרת ישראל, בקשר עם בקשה לשינוי עילת סגירה של תיק משטרתי שטופל על ידה במסגרת תפקידה. </w:t>
      </w:r>
    </w:p>
    <w:p w:rsidR="009973CC" w:rsidRDefault="009973CC" w:rsidP="009973CC">
      <w:pPr>
        <w:pStyle w:val="Ruller40"/>
        <w:rPr>
          <w:rtl/>
        </w:rPr>
      </w:pPr>
    </w:p>
    <w:p w:rsidR="009973CC" w:rsidRDefault="009973CC" w:rsidP="009973CC">
      <w:pPr>
        <w:pStyle w:val="Ruller4"/>
        <w:rPr>
          <w:rtl/>
        </w:rPr>
      </w:pPr>
      <w:r>
        <w:rPr>
          <w:rFonts w:hint="cs"/>
          <w:rtl/>
        </w:rPr>
        <w:t xml:space="preserve">בשנת 2016 נפתח נגד פלוני, בן 26, (להלן: </w:t>
      </w:r>
      <w:r w:rsidRPr="00942329">
        <w:rPr>
          <w:rFonts w:ascii="Century" w:hAnsi="Century" w:cs="Miriam" w:hint="cs"/>
          <w:b/>
          <w:spacing w:val="0"/>
          <w:sz w:val="22"/>
          <w:szCs w:val="24"/>
          <w:rtl/>
        </w:rPr>
        <w:t>המתלונן</w:t>
      </w:r>
      <w:r>
        <w:rPr>
          <w:rFonts w:hint="cs"/>
          <w:rtl/>
        </w:rPr>
        <w:t>) תיק חקירה משטרתית (</w:t>
      </w:r>
      <w:proofErr w:type="spellStart"/>
      <w:r>
        <w:rPr>
          <w:rFonts w:hint="cs"/>
          <w:rtl/>
        </w:rPr>
        <w:t>פל"א</w:t>
      </w:r>
      <w:proofErr w:type="spellEnd"/>
      <w:r>
        <w:rPr>
          <w:rFonts w:hint="cs"/>
          <w:rtl/>
        </w:rPr>
        <w:t xml:space="preserve"> 39331/2016) בחשד לעבירות של הפרעה לשוטר, החזקת נכס חשוד כגנוב, גניבת כרטיס חיוב והונאה בכרטיס חיוב. ביום 27.1.2016 הוחלט שלא להעמיד את המתלונן לדין ותיק החקירה נגדו נסגר בעילה של "חוסר ראיות" בהתאם להוראת סעיף 62(ב) לחוק סדר הדין הפלילי [נוסח משולב], התשמ"ב-1982 (להלן: </w:t>
      </w:r>
      <w:proofErr w:type="spellStart"/>
      <w:r w:rsidRPr="00D14B90">
        <w:rPr>
          <w:rFonts w:ascii="Century" w:hAnsi="Century" w:cs="Miriam" w:hint="cs"/>
          <w:b/>
          <w:spacing w:val="0"/>
          <w:sz w:val="22"/>
          <w:szCs w:val="24"/>
          <w:rtl/>
        </w:rPr>
        <w:t>החסד"פ</w:t>
      </w:r>
      <w:proofErr w:type="spellEnd"/>
      <w:r>
        <w:rPr>
          <w:rFonts w:hint="cs"/>
          <w:rtl/>
        </w:rPr>
        <w:t xml:space="preserve">).  </w:t>
      </w:r>
    </w:p>
    <w:p w:rsidR="009973CC" w:rsidRPr="00942329" w:rsidRDefault="009973CC" w:rsidP="009973CC">
      <w:pPr>
        <w:pStyle w:val="Ruller40"/>
      </w:pPr>
    </w:p>
    <w:p w:rsidR="009973CC" w:rsidRDefault="009973CC" w:rsidP="009973CC">
      <w:pPr>
        <w:pStyle w:val="Ruller4"/>
        <w:rPr>
          <w:rtl/>
        </w:rPr>
      </w:pPr>
      <w:r>
        <w:rPr>
          <w:rFonts w:hint="cs"/>
          <w:rtl/>
        </w:rPr>
        <w:lastRenderedPageBreak/>
        <w:t xml:space="preserve">בחלוף 5 שנים, ביום 27.4.2021 הגיש ב"כ המתלונן בקשה לשינוי עילת סגירת תיק החקירה, מ"חוסר ראיות" ל-"חוסר אשמה". על פי האמור בנספחים שצורפו לעתירה, המתלונן מעוניין בעתיד להתנדב במשטרה והוא חושש כי הרישום המשטרתי יסב לו נזק ויהווה כתם על שמו הטוב (להלן: </w:t>
      </w:r>
      <w:r>
        <w:rPr>
          <w:rFonts w:ascii="Century" w:hAnsi="Century" w:cs="Miriam" w:hint="cs"/>
          <w:b/>
          <w:spacing w:val="0"/>
          <w:sz w:val="22"/>
          <w:szCs w:val="24"/>
          <w:rtl/>
        </w:rPr>
        <w:t>הבקשה לשינוי עילת הסגיר</w:t>
      </w:r>
      <w:r w:rsidRPr="00232A4D">
        <w:rPr>
          <w:rFonts w:ascii="Century" w:hAnsi="Century" w:cs="Miriam" w:hint="cs"/>
          <w:b/>
          <w:spacing w:val="0"/>
          <w:sz w:val="22"/>
          <w:szCs w:val="24"/>
          <w:rtl/>
        </w:rPr>
        <w:t>ה</w:t>
      </w:r>
      <w:r>
        <w:rPr>
          <w:rFonts w:hint="cs"/>
          <w:rtl/>
        </w:rPr>
        <w:t xml:space="preserve">). </w:t>
      </w:r>
    </w:p>
    <w:p w:rsidR="009973CC" w:rsidRPr="00691E04" w:rsidRDefault="009973CC" w:rsidP="009973CC">
      <w:pPr>
        <w:pStyle w:val="Ruller40"/>
      </w:pPr>
    </w:p>
    <w:p w:rsidR="009973CC" w:rsidRDefault="009973CC" w:rsidP="00574202">
      <w:pPr>
        <w:pStyle w:val="Ruller4"/>
        <w:rPr>
          <w:rtl/>
        </w:rPr>
      </w:pPr>
      <w:r>
        <w:rPr>
          <w:rFonts w:hint="cs"/>
          <w:rtl/>
        </w:rPr>
        <w:t>הבקשה לשינוי עילת ה</w:t>
      </w:r>
      <w:r w:rsidR="00574202">
        <w:rPr>
          <w:rFonts w:hint="cs"/>
          <w:rtl/>
        </w:rPr>
        <w:t>סגירה</w:t>
      </w:r>
      <w:r>
        <w:rPr>
          <w:rFonts w:hint="cs"/>
          <w:rtl/>
        </w:rPr>
        <w:t xml:space="preserve"> הועברה לטיפולה של העותרת, קצינת חקירות בדרגת רפ"ק המכהנת כראש משרד חקירות באחת מתחנות משטרת ישראל. בחלוף יומיים, ביום 29.4.2021, דחתה העותרת את הבקשה. בהחלטת הדחייה נכתב כי "</w:t>
      </w:r>
      <w:r w:rsidRPr="00232A4D">
        <w:rPr>
          <w:rFonts w:ascii="Century" w:hAnsi="Century" w:cs="Miriam" w:hint="cs"/>
          <w:b/>
          <w:spacing w:val="0"/>
          <w:sz w:val="22"/>
          <w:szCs w:val="24"/>
          <w:rtl/>
        </w:rPr>
        <w:t>לציין שיש ראיות כנגד מרשך אך הקצין החליט לסגור לו את התיק ולא להעביר את התיק כנגדו לדין בגין החזקת נכס החשוד כגנוב</w:t>
      </w:r>
      <w:r>
        <w:rPr>
          <w:rFonts w:hint="cs"/>
          <w:rtl/>
        </w:rPr>
        <w:t xml:space="preserve">". כעבור 3 ימים, ביום 2.5.2021, פנה ב"כ המתלונן וביקש לקבל את נימוקי הדחייה של הבקשה לשינוי עילת הסגירה בעניינו של המתלונן, מן הטעם שההחלטה אינה מנומקת דיה. בד בבד הגיש ב"כ המתלונן בקשה לקבלת רשימת חומרי חקירה לצורך בחינת הגשת ערר על דחיית הבקשה לשינוי עילת הסגירה.  </w:t>
      </w:r>
    </w:p>
    <w:p w:rsidR="009973CC" w:rsidRDefault="009973CC" w:rsidP="009973CC">
      <w:pPr>
        <w:pStyle w:val="Ruller40"/>
        <w:rPr>
          <w:rtl/>
        </w:rPr>
      </w:pPr>
    </w:p>
    <w:p w:rsidR="009973CC" w:rsidRDefault="009973CC" w:rsidP="009973CC">
      <w:pPr>
        <w:pStyle w:val="Ruller4"/>
        <w:rPr>
          <w:rtl/>
        </w:rPr>
      </w:pPr>
      <w:r>
        <w:rPr>
          <w:rFonts w:hint="cs"/>
          <w:rtl/>
        </w:rPr>
        <w:t xml:space="preserve">ביום 3.5.2021, השיבה העותרת לב"כ המתלונן במכתב בן שני סעיפים (להלן: </w:t>
      </w:r>
      <w:r w:rsidRPr="004B4935">
        <w:rPr>
          <w:rFonts w:ascii="Century" w:hAnsi="Century" w:cs="Miriam" w:hint="cs"/>
          <w:b/>
          <w:spacing w:val="0"/>
          <w:sz w:val="22"/>
          <w:szCs w:val="24"/>
          <w:rtl/>
        </w:rPr>
        <w:t xml:space="preserve">המענה </w:t>
      </w:r>
      <w:r>
        <w:rPr>
          <w:rFonts w:ascii="Century" w:hAnsi="Century" w:cs="Miriam" w:hint="cs"/>
          <w:b/>
          <w:spacing w:val="0"/>
          <w:sz w:val="22"/>
          <w:szCs w:val="24"/>
          <w:rtl/>
        </w:rPr>
        <w:t>לבקשת ההנמקה</w:t>
      </w:r>
      <w:r>
        <w:rPr>
          <w:rFonts w:hint="cs"/>
          <w:rtl/>
        </w:rPr>
        <w:t>). בסעיף השני למענה נכתב כך:</w:t>
      </w:r>
    </w:p>
    <w:p w:rsidR="009973CC" w:rsidRDefault="009973CC" w:rsidP="009973CC">
      <w:pPr>
        <w:pStyle w:val="Ruller40"/>
        <w:rPr>
          <w:rtl/>
        </w:rPr>
      </w:pPr>
    </w:p>
    <w:p w:rsidR="009973CC" w:rsidRDefault="009973CC" w:rsidP="009973CC">
      <w:pPr>
        <w:pStyle w:val="Ruller5"/>
        <w:rPr>
          <w:rtl/>
        </w:rPr>
      </w:pPr>
      <w:r>
        <w:rPr>
          <w:rFonts w:hint="cs"/>
          <w:rtl/>
        </w:rPr>
        <w:t xml:space="preserve">"מכיוון ועל פי החומר כן יש ראיות כנגד מרשך אז לא ניתן לשנות את עילת הסגירה לחוסר אשמה. במידה ותרצה לערר שוב התיק יסוכם כנגדו לדין ויועבר לעיון תביעות ירושלים". </w:t>
      </w:r>
    </w:p>
    <w:p w:rsidR="009973CC" w:rsidRDefault="009973CC" w:rsidP="009973CC">
      <w:pPr>
        <w:pStyle w:val="Ruller40"/>
        <w:rPr>
          <w:rtl/>
        </w:rPr>
      </w:pPr>
    </w:p>
    <w:p w:rsidR="009973CC" w:rsidRDefault="009973CC" w:rsidP="009973CC">
      <w:pPr>
        <w:pStyle w:val="Ruller4"/>
        <w:numPr>
          <w:ilvl w:val="0"/>
          <w:numId w:val="0"/>
        </w:numPr>
        <w:rPr>
          <w:rtl/>
        </w:rPr>
      </w:pPr>
      <w:r>
        <w:rPr>
          <w:rtl/>
        </w:rPr>
        <w:tab/>
      </w:r>
      <w:r>
        <w:rPr>
          <w:rFonts w:hint="cs"/>
          <w:rtl/>
        </w:rPr>
        <w:t>כבר עתה יצוין כי משמעות הסיפא של הסעיף המובא לעיל היא כי התיק מועבר לבחינת העמדה לדין.</w:t>
      </w:r>
    </w:p>
    <w:p w:rsidR="009973CC" w:rsidRDefault="009973CC" w:rsidP="009973CC">
      <w:pPr>
        <w:pStyle w:val="Ruller40"/>
        <w:rPr>
          <w:rtl/>
        </w:rPr>
      </w:pPr>
    </w:p>
    <w:p w:rsidR="009973CC" w:rsidRDefault="009973CC" w:rsidP="009973CC">
      <w:pPr>
        <w:pStyle w:val="Ruller4"/>
        <w:rPr>
          <w:rtl/>
        </w:rPr>
      </w:pPr>
      <w:r>
        <w:rPr>
          <w:rFonts w:hint="cs"/>
          <w:rtl/>
        </w:rPr>
        <w:t xml:space="preserve">על המענה לבקשת ההנמקה הגיש ב"כ המתלונן כבר למחרת, ביום 4.5.2021, תלונה לנציב תלונות הציבור על מייצגי המדינה בערכאות (להלן: </w:t>
      </w:r>
      <w:r w:rsidRPr="004B4935">
        <w:rPr>
          <w:rFonts w:ascii="Century" w:hAnsi="Century" w:cs="Miriam" w:hint="cs"/>
          <w:b/>
          <w:spacing w:val="0"/>
          <w:sz w:val="22"/>
          <w:szCs w:val="24"/>
          <w:rtl/>
        </w:rPr>
        <w:t>הנציב</w:t>
      </w:r>
      <w:r>
        <w:rPr>
          <w:rFonts w:hint="cs"/>
          <w:rtl/>
        </w:rPr>
        <w:t xml:space="preserve">), בה נטען כי במענה לבקשת ההנמקה מאיימת העותרת על המתלונן שאם יעז להגיש ערר אזי יוגש נגדו כתב אישום, וכי מענה זה עולה כדי סחיטה באיומים שלא להגיש ערר על ההחלטה שלא לשנות את עילת סגירת התיק של המתלונן. </w:t>
      </w:r>
    </w:p>
    <w:p w:rsidR="009973CC" w:rsidRDefault="009973CC" w:rsidP="009973CC">
      <w:pPr>
        <w:pStyle w:val="Ruller40"/>
        <w:rPr>
          <w:rtl/>
        </w:rPr>
      </w:pPr>
    </w:p>
    <w:p w:rsidR="009973CC" w:rsidRDefault="009973CC" w:rsidP="009973CC">
      <w:pPr>
        <w:pStyle w:val="Ruller4"/>
        <w:rPr>
          <w:rtl/>
        </w:rPr>
      </w:pPr>
      <w:r>
        <w:rPr>
          <w:rFonts w:hint="cs"/>
          <w:rtl/>
        </w:rPr>
        <w:t xml:space="preserve">הנציב פנה ביום 5.5.2021 לראש אגף חקירות ומודיעין במשטרת ישראל וליועצת המשפטית של משטרת ישראל בבקשה לקבל את התייחסותם לנטען בתלונה. כן ביקש הנציב כי הנמענים יתייחסו לשאלה האם לגורם משטרתי המקבל החלטה </w:t>
      </w:r>
      <w:r>
        <w:rPr>
          <w:rFonts w:hint="cs"/>
          <w:rtl/>
        </w:rPr>
        <w:lastRenderedPageBreak/>
        <w:t xml:space="preserve">בדבר גניזה וסגירה של תלונות ותיקי חקירה נדרשת הסמכת מפכ"ל לשמש כתובע כמשמעותו בסעיף 12(א) </w:t>
      </w:r>
      <w:proofErr w:type="spellStart"/>
      <w:r>
        <w:rPr>
          <w:rFonts w:hint="cs"/>
          <w:rtl/>
        </w:rPr>
        <w:t>לחסד"פ</w:t>
      </w:r>
      <w:proofErr w:type="spellEnd"/>
      <w:r>
        <w:rPr>
          <w:rFonts w:hint="cs"/>
          <w:rtl/>
        </w:rPr>
        <w:t xml:space="preserve">. </w:t>
      </w:r>
    </w:p>
    <w:p w:rsidR="009973CC" w:rsidRPr="00F94EF4" w:rsidRDefault="009973CC" w:rsidP="009973CC">
      <w:pPr>
        <w:pStyle w:val="Ruller40"/>
        <w:rPr>
          <w:rtl/>
        </w:rPr>
      </w:pPr>
    </w:p>
    <w:p w:rsidR="009973CC" w:rsidRDefault="009973CC" w:rsidP="009973CC">
      <w:pPr>
        <w:pStyle w:val="Ruller4"/>
        <w:rPr>
          <w:rtl/>
        </w:rPr>
      </w:pPr>
      <w:r>
        <w:rPr>
          <w:rFonts w:hint="cs"/>
          <w:rtl/>
        </w:rPr>
        <w:t>ביום 25.5.2021 הגיש המתלונן ערר על דחיית בקשתו לשינוי עילת הסגירה של תיק החקירה. בעקבות הגשת הערר, נשלח ביום 30.5.2021 על ידי העותרת מכתב נוסף לב"כ המתלונן בו נכתב כדלקמן (</w:t>
      </w:r>
      <w:r w:rsidRPr="00BE6E67">
        <w:rPr>
          <w:rFonts w:ascii="Century" w:hAnsi="Century" w:hint="cs"/>
          <w:sz w:val="22"/>
          <w:rtl/>
        </w:rPr>
        <w:t>להלן:</w:t>
      </w:r>
      <w:r w:rsidRPr="00BE6E67">
        <w:rPr>
          <w:rFonts w:ascii="Century" w:hAnsi="Century" w:cs="Miriam" w:hint="cs"/>
          <w:b/>
          <w:spacing w:val="0"/>
          <w:sz w:val="22"/>
          <w:szCs w:val="24"/>
          <w:rtl/>
        </w:rPr>
        <w:t xml:space="preserve"> </w:t>
      </w:r>
      <w:r w:rsidRPr="00610006">
        <w:rPr>
          <w:rFonts w:ascii="Century" w:hAnsi="Century" w:cs="Miriam" w:hint="cs"/>
          <w:b/>
          <w:spacing w:val="0"/>
          <w:sz w:val="22"/>
          <w:szCs w:val="24"/>
          <w:rtl/>
        </w:rPr>
        <w:t>המכתב המורה על פתיחת תיק החקירה מחדש</w:t>
      </w:r>
      <w:r>
        <w:rPr>
          <w:rFonts w:hint="cs"/>
          <w:rtl/>
        </w:rPr>
        <w:t xml:space="preserve">): </w:t>
      </w:r>
    </w:p>
    <w:p w:rsidR="009973CC" w:rsidRPr="00610006" w:rsidRDefault="009973CC" w:rsidP="009973CC">
      <w:pPr>
        <w:pStyle w:val="Ruller40"/>
        <w:rPr>
          <w:rtl/>
        </w:rPr>
      </w:pPr>
    </w:p>
    <w:p w:rsidR="009973CC" w:rsidRDefault="009973CC" w:rsidP="009973CC">
      <w:pPr>
        <w:pStyle w:val="Ruller5"/>
      </w:pPr>
      <w:r>
        <w:rPr>
          <w:rFonts w:hint="cs"/>
          <w:rtl/>
        </w:rPr>
        <w:t xml:space="preserve">1. לאחר פנייתך הקודמת וההחלטה על דחיית בקשתך לשינוי עילת הסגירה, מכיוון והגשת ערר נוסף, הוחלט לפתוח את []תיק החקירה מחדש. </w:t>
      </w:r>
    </w:p>
    <w:p w:rsidR="009973CC" w:rsidRDefault="009973CC" w:rsidP="009973CC">
      <w:pPr>
        <w:pStyle w:val="Ruller5"/>
      </w:pPr>
      <w:r>
        <w:rPr>
          <w:rFonts w:hint="cs"/>
          <w:rtl/>
        </w:rPr>
        <w:t>2. התיק יוזמן מהארכיב בהקדם ויוצמד לחוקר ש</w:t>
      </w:r>
      <w:r w:rsidR="00574202">
        <w:rPr>
          <w:rFonts w:hint="cs"/>
          <w:rtl/>
        </w:rPr>
        <w:t>י</w:t>
      </w:r>
      <w:r>
        <w:rPr>
          <w:rFonts w:hint="cs"/>
          <w:rtl/>
        </w:rPr>
        <w:t xml:space="preserve">סיים את הטיפול בתיק. </w:t>
      </w:r>
    </w:p>
    <w:p w:rsidR="009973CC" w:rsidRDefault="009973CC" w:rsidP="009973CC">
      <w:pPr>
        <w:pStyle w:val="Ruller5"/>
      </w:pPr>
      <w:r>
        <w:rPr>
          <w:rFonts w:hint="cs"/>
          <w:rtl/>
        </w:rPr>
        <w:t xml:space="preserve">3. ובסיום הטיפול בתיק חקירה, התיק יועבר לתביעות ירושלים להחלטתם. </w:t>
      </w:r>
    </w:p>
    <w:p w:rsidR="009973CC" w:rsidRDefault="009973CC" w:rsidP="009973CC">
      <w:pPr>
        <w:pStyle w:val="Ruller40"/>
        <w:rPr>
          <w:rtl/>
        </w:rPr>
      </w:pPr>
    </w:p>
    <w:p w:rsidR="009973CC" w:rsidRDefault="009973CC" w:rsidP="009973CC">
      <w:pPr>
        <w:pStyle w:val="Ruller40"/>
        <w:rPr>
          <w:rtl/>
        </w:rPr>
      </w:pPr>
      <w:r>
        <w:rPr>
          <w:rtl/>
        </w:rPr>
        <w:tab/>
      </w:r>
      <w:r>
        <w:rPr>
          <w:rFonts w:hint="cs"/>
          <w:rtl/>
        </w:rPr>
        <w:t>יצוין כי מכתב זה לא צורף לעתירה שהגישה העותרת לבית משפט זה. בעקבות קבלת המכתב המורה על פתיחת תיק החקירה מחדש, הגיש המתלונן עדכון לתלונתו לנציב.</w:t>
      </w:r>
    </w:p>
    <w:p w:rsidR="009973CC" w:rsidRDefault="009973CC" w:rsidP="009973CC">
      <w:pPr>
        <w:pStyle w:val="Ruller40"/>
        <w:rPr>
          <w:rtl/>
        </w:rPr>
      </w:pPr>
    </w:p>
    <w:p w:rsidR="009973CC" w:rsidRDefault="009973CC" w:rsidP="009973CC">
      <w:pPr>
        <w:pStyle w:val="Ruller4"/>
        <w:rPr>
          <w:rtl/>
        </w:rPr>
      </w:pPr>
      <w:r>
        <w:rPr>
          <w:rFonts w:hint="cs"/>
          <w:rtl/>
        </w:rPr>
        <w:t xml:space="preserve">במועד לא ידוע סמוך לאחר מכן, החליט מדור תלונות ציבור ארצי במשטרת ישראל לבחון את התנהלות העותרת, הגם שלא הוגשה על ידי המתלונן תלונה למדור זה או למשטרה. ביום 5.7.2021 השיב קצין מדור תלונות ציבור ארצי של המשטרה (להלן: </w:t>
      </w:r>
      <w:r w:rsidRPr="00EB230E">
        <w:rPr>
          <w:rFonts w:ascii="Century" w:hAnsi="Century" w:cs="Miriam" w:hint="cs"/>
          <w:b/>
          <w:spacing w:val="0"/>
          <w:sz w:val="22"/>
          <w:szCs w:val="24"/>
          <w:rtl/>
        </w:rPr>
        <w:t>קצין תלונות הציבור של המשטרה</w:t>
      </w:r>
      <w:r>
        <w:rPr>
          <w:rFonts w:hint="cs"/>
          <w:rtl/>
        </w:rPr>
        <w:t>) בשם ראש אגף חקירות והיועצת המשפטית לפניית הנציב. במכתבו של קצין תלונות הציבור של המשטרה לנציב נכתב כי: "</w:t>
      </w:r>
      <w:r w:rsidRPr="00BC2709">
        <w:rPr>
          <w:rFonts w:ascii="Century" w:hAnsi="Century" w:cs="Miriam" w:hint="cs"/>
          <w:b/>
          <w:spacing w:val="0"/>
          <w:sz w:val="22"/>
          <w:szCs w:val="24"/>
          <w:rtl/>
        </w:rPr>
        <w:t xml:space="preserve">בחינת חלופת המכתבים... עולה כי טיפולה של [העותרת] בבקשת שינוי עילת הסגירה, ובמיוחד ניסוח המענה לבקשה, היה לקוי. לא </w:t>
      </w:r>
      <w:r>
        <w:rPr>
          <w:rFonts w:ascii="Century" w:hAnsi="Century" w:cs="Miriam" w:hint="cs"/>
          <w:b/>
          <w:spacing w:val="0"/>
          <w:sz w:val="22"/>
          <w:szCs w:val="24"/>
          <w:rtl/>
        </w:rPr>
        <w:t>היה מקום לדברי הקצינ</w:t>
      </w:r>
      <w:r w:rsidRPr="00BC2709">
        <w:rPr>
          <w:rFonts w:ascii="Century" w:hAnsi="Century" w:cs="Miriam" w:hint="cs"/>
          <w:b/>
          <w:spacing w:val="0"/>
          <w:sz w:val="22"/>
          <w:szCs w:val="24"/>
          <w:rtl/>
        </w:rPr>
        <w:t xml:space="preserve">ה כי הגשת ערר על דחיית הבקשה תיענה בהעברת התיק להעמדה לדין. עם זאת, בירור עם הקצינה העלה כי לא </w:t>
      </w:r>
      <w:proofErr w:type="spellStart"/>
      <w:r w:rsidRPr="00BC2709">
        <w:rPr>
          <w:rFonts w:ascii="Century" w:hAnsi="Century" w:cs="Miriam" w:hint="cs"/>
          <w:b/>
          <w:spacing w:val="0"/>
          <w:sz w:val="22"/>
          <w:szCs w:val="24"/>
          <w:rtl/>
        </w:rPr>
        <w:t>היתה</w:t>
      </w:r>
      <w:proofErr w:type="spellEnd"/>
      <w:r w:rsidRPr="00BC2709">
        <w:rPr>
          <w:rFonts w:ascii="Century" w:hAnsi="Century" w:cs="Miriam" w:hint="cs"/>
          <w:b/>
          <w:spacing w:val="0"/>
          <w:sz w:val="22"/>
          <w:szCs w:val="24"/>
          <w:rtl/>
        </w:rPr>
        <w:t xml:space="preserve"> לה כול כוונה לאיים בכך על המתלונן או על שולחו.</w:t>
      </w:r>
      <w:r>
        <w:rPr>
          <w:rFonts w:hint="cs"/>
          <w:rtl/>
        </w:rPr>
        <w:t xml:space="preserve">" עוד צוין במכתב כי הומלץ לנקוט בעניינה של העותרת בצעד של הדרכה. בנוסף, במענה לשאלת הנציב בנוגע להסמכת קציני משטרה לגנוז תלונות ולסגור תיקי חקירה נמסר כי לצורך זה האחרון נדרשת הסמכה ממפכ"ל המשטרה לשמש כתובע (כמשמעו בסעיף 12(א) </w:t>
      </w:r>
      <w:proofErr w:type="spellStart"/>
      <w:r>
        <w:rPr>
          <w:rFonts w:hint="cs"/>
          <w:rtl/>
        </w:rPr>
        <w:t>לחסד"פ</w:t>
      </w:r>
      <w:proofErr w:type="spellEnd"/>
      <w:r>
        <w:rPr>
          <w:rFonts w:hint="cs"/>
          <w:rtl/>
        </w:rPr>
        <w:t>), עם זאת צוין במכתב כי "</w:t>
      </w:r>
      <w:r w:rsidRPr="00256C60">
        <w:rPr>
          <w:rFonts w:ascii="Century" w:hAnsi="Century" w:cs="Miriam" w:hint="cs"/>
          <w:b/>
          <w:spacing w:val="0"/>
          <w:sz w:val="22"/>
          <w:szCs w:val="24"/>
          <w:rtl/>
        </w:rPr>
        <w:t>הסמכה זו מצומצמת לצורך גניזת תלונות וסגירת תיקי חקירה בלבד, ואין בה כדי להסמיך קציני משטרה כתובעים לצורך ייצוג המדינה בערכאות בכלל ההליכים להם מוסמך תובע</w:t>
      </w:r>
      <w:r>
        <w:rPr>
          <w:rFonts w:hint="cs"/>
          <w:rtl/>
        </w:rPr>
        <w:t xml:space="preserve">" (סעיף 2 למכתב). </w:t>
      </w:r>
    </w:p>
    <w:p w:rsidR="009973CC" w:rsidRDefault="009973CC" w:rsidP="009973CC">
      <w:pPr>
        <w:pStyle w:val="Ruller40"/>
        <w:rPr>
          <w:rtl/>
        </w:rPr>
      </w:pPr>
    </w:p>
    <w:p w:rsidR="009973CC" w:rsidRDefault="009973CC" w:rsidP="00A014C5">
      <w:pPr>
        <w:pStyle w:val="Ruller4"/>
        <w:rPr>
          <w:rtl/>
        </w:rPr>
      </w:pPr>
      <w:r>
        <w:rPr>
          <w:rFonts w:hint="cs"/>
          <w:rtl/>
        </w:rPr>
        <w:lastRenderedPageBreak/>
        <w:t xml:space="preserve">ביום 13.7.2021 פנה הנציב לעותרת בבקשת התייחסות לתלונה שהוגשה עליה. גם פנייה זו לא צורפה </w:t>
      </w:r>
      <w:r w:rsidR="00A014C5">
        <w:rPr>
          <w:rFonts w:hint="cs"/>
          <w:rtl/>
        </w:rPr>
        <w:t>ל</w:t>
      </w:r>
      <w:r>
        <w:rPr>
          <w:rFonts w:hint="cs"/>
          <w:rtl/>
        </w:rPr>
        <w:t xml:space="preserve">עתירה. </w:t>
      </w:r>
    </w:p>
    <w:p w:rsidR="009973CC" w:rsidRDefault="009973CC" w:rsidP="009973CC">
      <w:pPr>
        <w:pStyle w:val="Ruller40"/>
        <w:rPr>
          <w:rtl/>
        </w:rPr>
      </w:pPr>
    </w:p>
    <w:p w:rsidR="009973CC" w:rsidRDefault="009973CC" w:rsidP="009973CC">
      <w:pPr>
        <w:pStyle w:val="Ruller4"/>
        <w:rPr>
          <w:rtl/>
        </w:rPr>
      </w:pPr>
      <w:r>
        <w:rPr>
          <w:rFonts w:hint="cs"/>
          <w:rtl/>
        </w:rPr>
        <w:t>ביום 10.8.2021 פנה ב"כ העותרת לנציב במכתב בו הועלו ט</w:t>
      </w:r>
      <w:r w:rsidR="00574202">
        <w:rPr>
          <w:rFonts w:hint="cs"/>
          <w:rtl/>
        </w:rPr>
        <w:t>ענות בנוגע לחוסר סמכותו של הנציב</w:t>
      </w:r>
      <w:r>
        <w:rPr>
          <w:rFonts w:hint="cs"/>
          <w:rtl/>
        </w:rPr>
        <w:t xml:space="preserve"> לדון בתלונה נגד העותרת, וכן בקשה כי הנציב יחדל לאלתר מלדון בתלונה. ביום 10.11.2021 ניתן מענה מפורט לב"כ העותרת, בו נדחו הטענות לחוסר סמכות לדון בתלונה. בין היתר, ציין הנציב במענה מטעמו כי הנושא הועבר לבחינת המשנה ליועץ המשפטי לממשלה (משפט פלילי), עו"ד עמית מררי, שהכריעה כי קציני חקירות בעלי הסמכה כ"תובע" לפי סעיף 12(א) </w:t>
      </w:r>
      <w:proofErr w:type="spellStart"/>
      <w:r>
        <w:rPr>
          <w:rFonts w:hint="cs"/>
          <w:rtl/>
        </w:rPr>
        <w:t>לחסד"פ</w:t>
      </w:r>
      <w:proofErr w:type="spellEnd"/>
      <w:r>
        <w:rPr>
          <w:rFonts w:hint="cs"/>
          <w:rtl/>
        </w:rPr>
        <w:t xml:space="preserve"> נכללים תחת הגדרת "מייצג המדינה בערכאות", ומשכך בפעולותיהם כתובעים הם חוסים תחת סמכות ביקורתה של הנציבות (להלן: </w:t>
      </w:r>
      <w:r w:rsidRPr="00AD1718">
        <w:rPr>
          <w:rFonts w:ascii="Century" w:hAnsi="Century" w:cs="Miriam" w:hint="cs"/>
          <w:b/>
          <w:spacing w:val="0"/>
          <w:sz w:val="22"/>
          <w:szCs w:val="24"/>
          <w:rtl/>
        </w:rPr>
        <w:t>עמדת המשנה ליועמ"ש</w:t>
      </w:r>
      <w:r>
        <w:rPr>
          <w:rFonts w:hint="cs"/>
          <w:rtl/>
        </w:rPr>
        <w:t xml:space="preserve">). </w:t>
      </w:r>
    </w:p>
    <w:p w:rsidR="009973CC" w:rsidRDefault="009973CC" w:rsidP="009973CC">
      <w:pPr>
        <w:pStyle w:val="Ruller40"/>
        <w:rPr>
          <w:rtl/>
        </w:rPr>
      </w:pPr>
    </w:p>
    <w:p w:rsidR="009973CC" w:rsidRDefault="009973CC" w:rsidP="009973CC">
      <w:pPr>
        <w:pStyle w:val="Ruller4"/>
        <w:rPr>
          <w:rtl/>
        </w:rPr>
      </w:pPr>
      <w:r>
        <w:rPr>
          <w:rFonts w:hint="cs"/>
          <w:rtl/>
        </w:rPr>
        <w:t>לאחר מסכת התכתבויות נוספת שאינה דרושה לעניינ</w:t>
      </w:r>
      <w:r w:rsidR="007D2F65">
        <w:rPr>
          <w:rFonts w:hint="cs"/>
          <w:rtl/>
        </w:rPr>
        <w:t>נ</w:t>
      </w:r>
      <w:r>
        <w:rPr>
          <w:rFonts w:hint="cs"/>
          <w:rtl/>
        </w:rPr>
        <w:t xml:space="preserve">ו, הודיע הנציב לב"כ העותרת ביום 17.11.2021 כי הוא משהה את בירור התלונה, ולכן בשלב זה לא נדרשת התייחסות העותרת לתלונה. ביני לביני סיים הנציב דאז, השופט דוד רוזן את תפקידו, ומונתה ממלאת מקום נציב </w:t>
      </w:r>
      <w:r>
        <w:rPr>
          <w:rtl/>
        </w:rPr>
        <w:t>–</w:t>
      </w:r>
      <w:r>
        <w:rPr>
          <w:rFonts w:hint="cs"/>
          <w:rtl/>
        </w:rPr>
        <w:t xml:space="preserve"> עו"ד ליעד מאיר </w:t>
      </w:r>
      <w:proofErr w:type="spellStart"/>
      <w:r>
        <w:rPr>
          <w:rFonts w:hint="cs"/>
          <w:rtl/>
        </w:rPr>
        <w:t>צדר</w:t>
      </w:r>
      <w:proofErr w:type="spellEnd"/>
      <w:r>
        <w:rPr>
          <w:rFonts w:hint="cs"/>
          <w:rtl/>
        </w:rPr>
        <w:t>. ביום 7.2.2022 הודיעה מ"מ הנציב לב"כ העותרת כי לאחר דיון אצל היועץ המשפטי לממשלה, אשר תמך בעמדת המשנה ליועמ"ש בדבר סמכות ביק</w:t>
      </w:r>
      <w:r w:rsidR="00574202">
        <w:rPr>
          <w:rFonts w:hint="cs"/>
          <w:rtl/>
        </w:rPr>
        <w:t>ו</w:t>
      </w:r>
      <w:r>
        <w:rPr>
          <w:rFonts w:hint="cs"/>
          <w:rtl/>
        </w:rPr>
        <w:t xml:space="preserve">רת הנציבות במקרים מסוג זה, הוחלט לחדש את בירור התלונה, והעותרת התבקשה להגיש התייחסותה לתלונה עד ליום 21.2.2022. </w:t>
      </w:r>
    </w:p>
    <w:p w:rsidR="009973CC" w:rsidRDefault="009973CC" w:rsidP="009973CC">
      <w:pPr>
        <w:pStyle w:val="Ruller40"/>
        <w:rPr>
          <w:rtl/>
        </w:rPr>
      </w:pPr>
    </w:p>
    <w:p w:rsidR="009973CC" w:rsidRDefault="009973CC" w:rsidP="009973CC">
      <w:pPr>
        <w:pStyle w:val="Ruller4"/>
        <w:rPr>
          <w:rtl/>
        </w:rPr>
      </w:pPr>
      <w:r>
        <w:rPr>
          <w:rFonts w:hint="cs"/>
          <w:rtl/>
        </w:rPr>
        <w:t xml:space="preserve">העותרת לא השלימה עם קביעות אלו, וביום 24.2.2022 הגישה את העתירה שלפנינו, ולצידה בקשה לצו ביניים. בעתירה חוזרת העותרת על טענותיה בדבר חוסר סמכותו של הנציב לברר את התלונה. טענת חוסר הסמכות נטענה ביחס לשלושה היבטים: </w:t>
      </w:r>
      <w:r w:rsidRPr="005C1D7B">
        <w:rPr>
          <w:rFonts w:ascii="Century" w:hAnsi="Century" w:cs="Miriam" w:hint="cs"/>
          <w:b/>
          <w:spacing w:val="0"/>
          <w:sz w:val="22"/>
          <w:szCs w:val="24"/>
          <w:rtl/>
        </w:rPr>
        <w:t>ראשית</w:t>
      </w:r>
      <w:r>
        <w:rPr>
          <w:rFonts w:hint="cs"/>
          <w:rtl/>
        </w:rPr>
        <w:t>, נטען כי הנציב אינו רשאי לברר את התלונה מאחר והמעשה איננו מעשה של מייצג המדינה בערכאות. באופן ספציפי, טוענת העותרת כי החלטות אשר היא מקבלת במשרדה לא חוסות תחת הגדרת המונח "</w:t>
      </w:r>
      <w:r w:rsidRPr="005C1D7B">
        <w:rPr>
          <w:rFonts w:ascii="Century" w:hAnsi="Century" w:cs="Miriam" w:hint="cs"/>
          <w:b/>
          <w:spacing w:val="0"/>
          <w:sz w:val="22"/>
          <w:szCs w:val="24"/>
          <w:rtl/>
        </w:rPr>
        <w:t>מייצג המדינה בערכאות</w:t>
      </w:r>
      <w:r>
        <w:rPr>
          <w:rFonts w:hint="cs"/>
          <w:rtl/>
        </w:rPr>
        <w:t>" הואיל ומשרד איננו נכלל במושג "</w:t>
      </w:r>
      <w:r w:rsidRPr="005C1D7B">
        <w:rPr>
          <w:rFonts w:ascii="Century" w:hAnsi="Century" w:cs="Miriam" w:hint="cs"/>
          <w:b/>
          <w:spacing w:val="0"/>
          <w:sz w:val="22"/>
          <w:szCs w:val="24"/>
          <w:rtl/>
        </w:rPr>
        <w:t>ערכאה</w:t>
      </w:r>
      <w:r>
        <w:rPr>
          <w:rFonts w:hint="cs"/>
          <w:rtl/>
        </w:rPr>
        <w:t>", כהגדרתו בחוק נציבות תלונות הציבור על</w:t>
      </w:r>
      <w:r>
        <w:t xml:space="preserve"> </w:t>
      </w:r>
      <w:r>
        <w:rPr>
          <w:rFonts w:hint="cs"/>
          <w:rtl/>
        </w:rPr>
        <w:t xml:space="preserve"> מייצגי המדינה בערכאות, תשע"ו-2016 (להלן: </w:t>
      </w:r>
      <w:r w:rsidRPr="00962594">
        <w:rPr>
          <w:rFonts w:ascii="Century" w:hAnsi="Century" w:cs="Miriam" w:hint="cs"/>
          <w:b/>
          <w:spacing w:val="0"/>
          <w:sz w:val="22"/>
          <w:szCs w:val="24"/>
          <w:rtl/>
        </w:rPr>
        <w:t>החוק</w:t>
      </w:r>
      <w:r>
        <w:rPr>
          <w:rFonts w:hint="cs"/>
          <w:rtl/>
        </w:rPr>
        <w:t xml:space="preserve">). </w:t>
      </w:r>
      <w:r w:rsidRPr="005C1D7B">
        <w:rPr>
          <w:rFonts w:ascii="Century" w:hAnsi="Century" w:cs="Miriam" w:hint="cs"/>
          <w:b/>
          <w:spacing w:val="0"/>
          <w:sz w:val="22"/>
          <w:szCs w:val="24"/>
          <w:rtl/>
        </w:rPr>
        <w:t>שנית</w:t>
      </w:r>
      <w:r>
        <w:rPr>
          <w:rFonts w:hint="cs"/>
          <w:rtl/>
        </w:rPr>
        <w:t xml:space="preserve">, נטען כי הנציב אינו רשאי לברר את התלונה מאחר שמדובר במעשה אשר רשות אחרת, במקרה זה קצין תלונות הציבור של המשטרה, מוסמכת לבררו. </w:t>
      </w:r>
      <w:r w:rsidRPr="00627FC9">
        <w:rPr>
          <w:rFonts w:ascii="Century" w:hAnsi="Century" w:cs="Miriam" w:hint="cs"/>
          <w:b/>
          <w:spacing w:val="0"/>
          <w:sz w:val="22"/>
          <w:szCs w:val="24"/>
          <w:rtl/>
        </w:rPr>
        <w:t>שלישית</w:t>
      </w:r>
      <w:r>
        <w:rPr>
          <w:rFonts w:hint="cs"/>
          <w:rtl/>
        </w:rPr>
        <w:t xml:space="preserve">, נטען כי הנציב אינו רשאי לברר את התלונה משום שהוא עצמו סבר כי הממונה על העותרת הוא הגורם המתאים לבררה, עת פנה וביקש את התייחסות הממונה על העותרת לתלונה. </w:t>
      </w:r>
    </w:p>
    <w:p w:rsidR="009973CC" w:rsidRDefault="009973CC" w:rsidP="009973CC">
      <w:pPr>
        <w:pStyle w:val="Ruller40"/>
        <w:rPr>
          <w:rtl/>
        </w:rPr>
      </w:pPr>
    </w:p>
    <w:p w:rsidR="009973CC" w:rsidRDefault="009973CC" w:rsidP="009973CC">
      <w:pPr>
        <w:pStyle w:val="Ruller4"/>
        <w:rPr>
          <w:rtl/>
        </w:rPr>
      </w:pPr>
      <w:r>
        <w:rPr>
          <w:rFonts w:hint="cs"/>
          <w:rtl/>
        </w:rPr>
        <w:lastRenderedPageBreak/>
        <w:t>ביום 26.4.2022 הגיש הנציב את תגובתו המקדמית לעתירה ולבקשה לצו ביניים. בתגובה נטען כי יש לדחות את העתירה על הסף, בהיותה עתירה מוקדמת שהוגשה בטרם ניתנה החלטה בתלונה על ידי הנציב. עוד נטען כי יש לדחות את העתירה גם לגופה משעה שאין ממש בטענות העותרת לחוסר סמכות הנציב לדון בעניינה של העותרת. בין היתר, מציין הנציב כי סעיף 1 לחוק, המגדיר מיהו "</w:t>
      </w:r>
      <w:r w:rsidRPr="00627FC9">
        <w:rPr>
          <w:rFonts w:ascii="Century" w:hAnsi="Century" w:cs="Miriam" w:hint="cs"/>
          <w:b/>
          <w:spacing w:val="0"/>
          <w:sz w:val="22"/>
          <w:szCs w:val="24"/>
          <w:rtl/>
        </w:rPr>
        <w:t>מייצג המדינה בערכאות</w:t>
      </w:r>
      <w:r>
        <w:rPr>
          <w:rFonts w:hint="cs"/>
          <w:rtl/>
        </w:rPr>
        <w:t>" מונה שש קטגוריות של מייצגים, הראשונה בהם מ</w:t>
      </w:r>
      <w:r w:rsidR="00574202">
        <w:rPr>
          <w:rFonts w:hint="cs"/>
          <w:rtl/>
        </w:rPr>
        <w:t>ת</w:t>
      </w:r>
      <w:r>
        <w:rPr>
          <w:rFonts w:hint="cs"/>
          <w:rtl/>
        </w:rPr>
        <w:t>ייחסת ל"</w:t>
      </w:r>
      <w:r w:rsidRPr="00627FC9">
        <w:rPr>
          <w:rFonts w:ascii="Century" w:hAnsi="Century" w:cs="Miriam" w:hint="cs"/>
          <w:b/>
          <w:spacing w:val="0"/>
          <w:sz w:val="22"/>
          <w:szCs w:val="24"/>
          <w:rtl/>
        </w:rPr>
        <w:t>מי שמייצג את המדינה, לפי דין, בהליך המתברר בערכאות</w:t>
      </w:r>
      <w:r>
        <w:rPr>
          <w:rFonts w:hint="cs"/>
          <w:rtl/>
        </w:rPr>
        <w:t xml:space="preserve">", אולם השלישית הרלוונטית </w:t>
      </w:r>
      <w:proofErr w:type="spellStart"/>
      <w:r>
        <w:rPr>
          <w:rFonts w:hint="cs"/>
          <w:rtl/>
        </w:rPr>
        <w:t>לעינינ</w:t>
      </w:r>
      <w:r w:rsidR="007D2F65">
        <w:rPr>
          <w:rFonts w:hint="cs"/>
          <w:rtl/>
        </w:rPr>
        <w:t>נ</w:t>
      </w:r>
      <w:r>
        <w:rPr>
          <w:rFonts w:hint="cs"/>
          <w:rtl/>
        </w:rPr>
        <w:t>ו</w:t>
      </w:r>
      <w:proofErr w:type="spellEnd"/>
      <w:r>
        <w:rPr>
          <w:rFonts w:hint="cs"/>
          <w:rtl/>
        </w:rPr>
        <w:t xml:space="preserve"> קובעת "</w:t>
      </w:r>
      <w:r w:rsidRPr="00627FC9">
        <w:rPr>
          <w:rFonts w:ascii="Century" w:hAnsi="Century" w:cs="Miriam" w:hint="cs"/>
          <w:b/>
          <w:spacing w:val="0"/>
          <w:sz w:val="22"/>
          <w:szCs w:val="24"/>
          <w:rtl/>
        </w:rPr>
        <w:t>תובע כמשמעותו בסעיף 12(א) לחוק סדר הדין הפלילי [נוסח משולב], השמ"ב-1982</w:t>
      </w:r>
      <w:r>
        <w:rPr>
          <w:rFonts w:hint="cs"/>
          <w:rtl/>
        </w:rPr>
        <w:t xml:space="preserve">". וזאת, הואיל ואין חולק כי לעותרת ניתנה הסמכה כתובעת בהתאם לסעיף 12(א) </w:t>
      </w:r>
      <w:proofErr w:type="spellStart"/>
      <w:r>
        <w:rPr>
          <w:rFonts w:hint="cs"/>
          <w:rtl/>
        </w:rPr>
        <w:t>לחסד"פ</w:t>
      </w:r>
      <w:proofErr w:type="spellEnd"/>
      <w:r>
        <w:rPr>
          <w:rFonts w:hint="cs"/>
          <w:rtl/>
        </w:rPr>
        <w:t xml:space="preserve">. </w:t>
      </w:r>
    </w:p>
    <w:p w:rsidR="009973CC" w:rsidRPr="00AF2942" w:rsidRDefault="009973CC" w:rsidP="009973CC">
      <w:pPr>
        <w:pStyle w:val="Ruller40"/>
      </w:pPr>
    </w:p>
    <w:p w:rsidR="009973CC" w:rsidRDefault="009973CC" w:rsidP="009973CC">
      <w:pPr>
        <w:pStyle w:val="Ruller4"/>
        <w:rPr>
          <w:rtl/>
        </w:rPr>
      </w:pPr>
      <w:r>
        <w:rPr>
          <w:rFonts w:hint="cs"/>
          <w:rtl/>
        </w:rPr>
        <w:t xml:space="preserve">למען שלמות התמונה יצוין כי לתגובה המקדמית צורף מכתב מטעם עוזר בכיר ליועצת המשפטית לממשלה מיום 12.4.2022, החוזר על השתלשלות העניינים ככל שהיא נוגעת לעמדת המשנה ליועמ"ש ולעמדת היועץ המשפטי לממשלה דאז. עם זאת הודגש במכתב כי סמכות הנציב משתרעת על שלבים בהם נדרשים קציני חקירות להפעיל את סמכותם כתובעים, אך לא בשלבי ניהול או ליווי החקירה לגופה. </w:t>
      </w:r>
    </w:p>
    <w:p w:rsidR="009973CC" w:rsidRPr="007C40D8" w:rsidRDefault="009973CC" w:rsidP="009973CC">
      <w:pPr>
        <w:pStyle w:val="Ruller40"/>
      </w:pPr>
    </w:p>
    <w:p w:rsidR="009973CC" w:rsidRDefault="009973CC" w:rsidP="009973CC">
      <w:pPr>
        <w:pStyle w:val="Ruller4"/>
        <w:rPr>
          <w:rtl/>
        </w:rPr>
      </w:pPr>
      <w:r>
        <w:rPr>
          <w:rFonts w:hint="cs"/>
          <w:rtl/>
        </w:rPr>
        <w:t xml:space="preserve">נוכח האמור בתגובה המקדמית, התבקשה העותרת להודיע האם היא עומדת על </w:t>
      </w:r>
      <w:r w:rsidR="00574202">
        <w:rPr>
          <w:rFonts w:hint="cs"/>
          <w:rtl/>
        </w:rPr>
        <w:t>ה</w:t>
      </w:r>
      <w:r>
        <w:rPr>
          <w:rFonts w:hint="cs"/>
          <w:rtl/>
        </w:rPr>
        <w:t xml:space="preserve">עתירה. ביום 11.5.2022 הודיעה העותרת כי היא עומדת על עתירתה והגישה תשובה לתגובה המקדמית. בתשובתה טוענת העותרת כי הנציב אינו מוסמך לברר תלונה אשר החוק איננו מסמיך אותו לבררה, ועל כן נבדל ענייננו מעניינים אחרים בהם לא נדרשה החלטה מנהלית מקדימה בדבר עצם הסמכות לברר תלונה. עוד נטען כי בהתאם לסעיף 16(א)(7) לחוק די בהעברת התלונה לגורם אחר על מנת למנוע מהנציב את המשך בירור התלונה, וכי עמדת המשנה ליועמ"ש והיועמ"ש שגויות. </w:t>
      </w:r>
    </w:p>
    <w:p w:rsidR="009973CC" w:rsidRDefault="009973CC" w:rsidP="009973CC">
      <w:pPr>
        <w:pStyle w:val="Ruller40"/>
        <w:rPr>
          <w:rtl/>
        </w:rPr>
      </w:pPr>
    </w:p>
    <w:p w:rsidR="009973CC" w:rsidRPr="007C40D8" w:rsidRDefault="009973CC" w:rsidP="009973CC">
      <w:pPr>
        <w:pStyle w:val="Ruller40"/>
        <w:rPr>
          <w:rFonts w:ascii="Century" w:hAnsi="Century" w:cs="Miriam"/>
          <w:b/>
          <w:spacing w:val="0"/>
          <w:szCs w:val="24"/>
          <w:rtl/>
        </w:rPr>
      </w:pPr>
      <w:r w:rsidRPr="007C40D8">
        <w:rPr>
          <w:rFonts w:ascii="Century" w:hAnsi="Century" w:cs="Miriam" w:hint="cs"/>
          <w:b/>
          <w:spacing w:val="0"/>
          <w:szCs w:val="24"/>
          <w:rtl/>
        </w:rPr>
        <w:t>דיון והכרעה</w:t>
      </w:r>
    </w:p>
    <w:p w:rsidR="009973CC" w:rsidRDefault="009973CC" w:rsidP="009973CC">
      <w:pPr>
        <w:pStyle w:val="Ruller40"/>
        <w:rPr>
          <w:rtl/>
        </w:rPr>
      </w:pPr>
    </w:p>
    <w:p w:rsidR="009973CC" w:rsidRDefault="009973CC" w:rsidP="009973CC">
      <w:pPr>
        <w:pStyle w:val="Ruller4"/>
        <w:rPr>
          <w:rFonts w:ascii="FrankRuehl" w:hAnsi="FrankRuehl"/>
          <w:color w:val="000000"/>
          <w:sz w:val="28"/>
          <w:rtl/>
        </w:rPr>
      </w:pPr>
      <w:r>
        <w:rPr>
          <w:rFonts w:hint="cs"/>
          <w:rtl/>
        </w:rPr>
        <w:t xml:space="preserve">לאחר שעיינתי בעתירה, </w:t>
      </w:r>
      <w:r w:rsidRPr="00C91CBB">
        <w:rPr>
          <w:rFonts w:ascii="FrankRuehl" w:hAnsi="FrankRuehl"/>
          <w:color w:val="000000"/>
          <w:sz w:val="28"/>
          <w:rtl/>
        </w:rPr>
        <w:t>בתגובה המקדמית שהגיש ה</w:t>
      </w:r>
      <w:r>
        <w:rPr>
          <w:rFonts w:ascii="FrankRuehl" w:hAnsi="FrankRuehl" w:hint="cs"/>
          <w:color w:val="000000"/>
          <w:sz w:val="28"/>
          <w:rtl/>
        </w:rPr>
        <w:t>נציב</w:t>
      </w:r>
      <w:r w:rsidRPr="00C91CBB">
        <w:rPr>
          <w:rFonts w:ascii="FrankRuehl" w:hAnsi="FrankRuehl"/>
          <w:color w:val="000000"/>
          <w:sz w:val="28"/>
          <w:rtl/>
        </w:rPr>
        <w:t xml:space="preserve"> ובעמדת העותר</w:t>
      </w:r>
      <w:r>
        <w:rPr>
          <w:rFonts w:ascii="FrankRuehl" w:hAnsi="FrankRuehl" w:hint="cs"/>
          <w:color w:val="000000"/>
          <w:sz w:val="28"/>
          <w:rtl/>
        </w:rPr>
        <w:t xml:space="preserve">ת </w:t>
      </w:r>
      <w:r>
        <w:rPr>
          <w:rFonts w:ascii="FrankRuehl" w:hAnsi="FrankRuehl"/>
          <w:color w:val="000000"/>
          <w:sz w:val="28"/>
          <w:rtl/>
        </w:rPr>
        <w:t xml:space="preserve">לגביה, </w:t>
      </w:r>
      <w:r>
        <w:rPr>
          <w:rFonts w:ascii="FrankRuehl" w:hAnsi="FrankRuehl" w:hint="cs"/>
          <w:color w:val="000000"/>
          <w:sz w:val="28"/>
          <w:rtl/>
        </w:rPr>
        <w:t>סברתי</w:t>
      </w:r>
      <w:r w:rsidRPr="00C91CBB">
        <w:rPr>
          <w:rFonts w:ascii="FrankRuehl" w:hAnsi="FrankRuehl"/>
          <w:color w:val="000000"/>
          <w:sz w:val="28"/>
          <w:rtl/>
        </w:rPr>
        <w:t xml:space="preserve"> כי דין </w:t>
      </w:r>
      <w:r>
        <w:rPr>
          <w:rFonts w:ascii="FrankRuehl" w:hAnsi="FrankRuehl"/>
          <w:color w:val="000000"/>
          <w:sz w:val="28"/>
          <w:rtl/>
        </w:rPr>
        <w:t>העתירה להידח</w:t>
      </w:r>
      <w:r>
        <w:rPr>
          <w:rFonts w:ascii="FrankRuehl" w:hAnsi="FrankRuehl" w:hint="cs"/>
          <w:color w:val="000000"/>
          <w:sz w:val="28"/>
          <w:rtl/>
        </w:rPr>
        <w:t>ות על הסף מחמת היותה עתירה מוקדמת</w:t>
      </w:r>
      <w:r w:rsidRPr="00532D46">
        <w:rPr>
          <w:rFonts w:ascii="FrankRuehl" w:hAnsi="FrankRuehl"/>
          <w:color w:val="000000"/>
          <w:sz w:val="28"/>
        </w:rPr>
        <w:t>.</w:t>
      </w:r>
    </w:p>
    <w:p w:rsidR="009973CC" w:rsidRDefault="009973CC" w:rsidP="009973CC">
      <w:pPr>
        <w:pStyle w:val="Ruller40"/>
        <w:rPr>
          <w:rtl/>
        </w:rPr>
      </w:pPr>
    </w:p>
    <w:p w:rsidR="009973CC" w:rsidRDefault="009973CC" w:rsidP="009973CC">
      <w:pPr>
        <w:pStyle w:val="Ruller4"/>
        <w:rPr>
          <w:rtl/>
        </w:rPr>
      </w:pPr>
      <w:r>
        <w:rPr>
          <w:rFonts w:hint="cs"/>
          <w:rtl/>
        </w:rPr>
        <w:t>כידוע, בית משפט זה לא יידרש לעתירה המוגשת לפני שקיבלה הרשות המוסמכת החלטה סופית לגופו של עניין (</w:t>
      </w:r>
      <w:r w:rsidRPr="00544748">
        <w:rPr>
          <w:rFonts w:hint="eastAsia"/>
          <w:rtl/>
        </w:rPr>
        <w:t>ראו</w:t>
      </w:r>
      <w:r w:rsidRPr="00544748">
        <w:rPr>
          <w:rtl/>
        </w:rPr>
        <w:t xml:space="preserve"> </w:t>
      </w:r>
      <w:r w:rsidRPr="00544748">
        <w:rPr>
          <w:rFonts w:hint="eastAsia"/>
          <w:rtl/>
        </w:rPr>
        <w:t>מיני</w:t>
      </w:r>
      <w:r w:rsidRPr="00544748">
        <w:rPr>
          <w:rtl/>
        </w:rPr>
        <w:t xml:space="preserve"> </w:t>
      </w:r>
      <w:r w:rsidRPr="00544748">
        <w:rPr>
          <w:rFonts w:hint="eastAsia"/>
          <w:rtl/>
        </w:rPr>
        <w:t>רבים</w:t>
      </w:r>
      <w:r w:rsidRPr="00544748">
        <w:rPr>
          <w:rtl/>
        </w:rPr>
        <w:t xml:space="preserve">: </w:t>
      </w:r>
      <w:r w:rsidRPr="00544748">
        <w:rPr>
          <w:rFonts w:hint="eastAsia"/>
          <w:rtl/>
        </w:rPr>
        <w:t>בג</w:t>
      </w:r>
      <w:r w:rsidRPr="00544748">
        <w:rPr>
          <w:rtl/>
        </w:rPr>
        <w:t>"</w:t>
      </w:r>
      <w:r w:rsidRPr="00544748">
        <w:rPr>
          <w:rFonts w:hint="eastAsia"/>
          <w:rtl/>
        </w:rPr>
        <w:t>ץ</w:t>
      </w:r>
      <w:r w:rsidRPr="00544748">
        <w:rPr>
          <w:rtl/>
        </w:rPr>
        <w:t xml:space="preserve"> 8145/19 </w:t>
      </w:r>
      <w:r w:rsidRPr="00046E68">
        <w:rPr>
          <w:rFonts w:ascii="Century" w:hAnsi="Century" w:cs="Miriam" w:hint="eastAsia"/>
          <w:b/>
          <w:spacing w:val="0"/>
          <w:sz w:val="22"/>
          <w:szCs w:val="24"/>
          <w:rtl/>
        </w:rPr>
        <w:t>ד</w:t>
      </w:r>
      <w:r w:rsidRPr="00046E68">
        <w:rPr>
          <w:rFonts w:ascii="Century" w:hAnsi="Century" w:cs="Miriam"/>
          <w:b/>
          <w:spacing w:val="0"/>
          <w:sz w:val="22"/>
          <w:szCs w:val="24"/>
          <w:rtl/>
        </w:rPr>
        <w:t>"</w:t>
      </w:r>
      <w:r w:rsidRPr="00046E68">
        <w:rPr>
          <w:rFonts w:ascii="Century" w:hAnsi="Century" w:cs="Miriam" w:hint="eastAsia"/>
          <w:b/>
          <w:spacing w:val="0"/>
          <w:sz w:val="22"/>
          <w:szCs w:val="24"/>
          <w:rtl/>
        </w:rPr>
        <w:t>ר</w:t>
      </w:r>
      <w:r w:rsidRPr="00046E68">
        <w:rPr>
          <w:rFonts w:ascii="Century" w:hAnsi="Century" w:cs="Miriam"/>
          <w:b/>
          <w:spacing w:val="0"/>
          <w:sz w:val="22"/>
          <w:szCs w:val="24"/>
          <w:rtl/>
        </w:rPr>
        <w:t xml:space="preserve"> </w:t>
      </w:r>
      <w:r w:rsidRPr="00046E68">
        <w:rPr>
          <w:rFonts w:ascii="Century" w:hAnsi="Century" w:cs="Miriam" w:hint="eastAsia"/>
          <w:b/>
          <w:spacing w:val="0"/>
          <w:sz w:val="22"/>
          <w:szCs w:val="24"/>
          <w:rtl/>
        </w:rPr>
        <w:t>ברי</w:t>
      </w:r>
      <w:r w:rsidRPr="00046E68">
        <w:rPr>
          <w:rFonts w:ascii="Century" w:hAnsi="Century" w:cs="Miriam"/>
          <w:b/>
          <w:spacing w:val="0"/>
          <w:sz w:val="22"/>
          <w:szCs w:val="24"/>
          <w:rtl/>
        </w:rPr>
        <w:t xml:space="preserve"> </w:t>
      </w:r>
      <w:r w:rsidRPr="00046E68">
        <w:rPr>
          <w:rFonts w:ascii="Century" w:hAnsi="Century" w:cs="Miriam" w:hint="eastAsia"/>
          <w:b/>
          <w:spacing w:val="0"/>
          <w:sz w:val="22"/>
          <w:szCs w:val="24"/>
          <w:rtl/>
        </w:rPr>
        <w:t>נ</w:t>
      </w:r>
      <w:r w:rsidRPr="00046E68">
        <w:rPr>
          <w:rFonts w:ascii="Century" w:hAnsi="Century" w:cs="Miriam"/>
          <w:b/>
          <w:spacing w:val="0"/>
          <w:sz w:val="22"/>
          <w:szCs w:val="24"/>
          <w:rtl/>
        </w:rPr>
        <w:t xml:space="preserve">' </w:t>
      </w:r>
      <w:r w:rsidRPr="00046E68">
        <w:rPr>
          <w:rFonts w:ascii="Century" w:hAnsi="Century" w:cs="Miriam" w:hint="eastAsia"/>
          <w:b/>
          <w:spacing w:val="0"/>
          <w:sz w:val="22"/>
          <w:szCs w:val="24"/>
          <w:rtl/>
        </w:rPr>
        <w:t>היועץ</w:t>
      </w:r>
      <w:r w:rsidRPr="00046E68">
        <w:rPr>
          <w:rFonts w:ascii="Century" w:hAnsi="Century" w:cs="Miriam"/>
          <w:b/>
          <w:spacing w:val="0"/>
          <w:sz w:val="22"/>
          <w:szCs w:val="24"/>
          <w:rtl/>
        </w:rPr>
        <w:t xml:space="preserve"> </w:t>
      </w:r>
      <w:r w:rsidRPr="00046E68">
        <w:rPr>
          <w:rFonts w:ascii="Century" w:hAnsi="Century" w:cs="Miriam" w:hint="eastAsia"/>
          <w:b/>
          <w:spacing w:val="0"/>
          <w:sz w:val="22"/>
          <w:szCs w:val="24"/>
          <w:rtl/>
        </w:rPr>
        <w:t>המשפטי</w:t>
      </w:r>
      <w:r w:rsidRPr="00046E68">
        <w:rPr>
          <w:rFonts w:ascii="Century" w:hAnsi="Century" w:cs="Miriam"/>
          <w:b/>
          <w:spacing w:val="0"/>
          <w:sz w:val="22"/>
          <w:szCs w:val="24"/>
          <w:rtl/>
        </w:rPr>
        <w:t xml:space="preserve"> </w:t>
      </w:r>
      <w:r w:rsidRPr="00046E68">
        <w:rPr>
          <w:rFonts w:ascii="Century" w:hAnsi="Century" w:cs="Miriam" w:hint="eastAsia"/>
          <w:b/>
          <w:spacing w:val="0"/>
          <w:sz w:val="22"/>
          <w:szCs w:val="24"/>
          <w:rtl/>
        </w:rPr>
        <w:t>לממשלה</w:t>
      </w:r>
      <w:r w:rsidRPr="00544748">
        <w:rPr>
          <w:rtl/>
        </w:rPr>
        <w:t xml:space="preserve">, </w:t>
      </w:r>
      <w:r w:rsidRPr="00544748">
        <w:rPr>
          <w:rFonts w:hint="eastAsia"/>
          <w:rtl/>
        </w:rPr>
        <w:t>פסקה</w:t>
      </w:r>
      <w:r w:rsidRPr="00544748">
        <w:rPr>
          <w:rtl/>
        </w:rPr>
        <w:t xml:space="preserve"> 8 (2.1.2020); </w:t>
      </w:r>
      <w:r w:rsidRPr="00544748">
        <w:rPr>
          <w:rFonts w:hint="eastAsia"/>
          <w:rtl/>
        </w:rPr>
        <w:t>בג</w:t>
      </w:r>
      <w:r w:rsidRPr="00544748">
        <w:rPr>
          <w:rtl/>
        </w:rPr>
        <w:t>"</w:t>
      </w:r>
      <w:r w:rsidRPr="00544748">
        <w:rPr>
          <w:rFonts w:hint="eastAsia"/>
          <w:rtl/>
        </w:rPr>
        <w:t>ץ</w:t>
      </w:r>
      <w:r w:rsidRPr="00544748">
        <w:rPr>
          <w:rtl/>
        </w:rPr>
        <w:t xml:space="preserve"> 9244/20 </w:t>
      </w:r>
      <w:r w:rsidRPr="00046E68">
        <w:rPr>
          <w:rFonts w:ascii="Century" w:hAnsi="Century" w:cs="Miriam" w:hint="eastAsia"/>
          <w:b/>
          <w:spacing w:val="0"/>
          <w:sz w:val="22"/>
          <w:szCs w:val="24"/>
          <w:rtl/>
        </w:rPr>
        <w:t>המועצה</w:t>
      </w:r>
      <w:r w:rsidRPr="00046E68">
        <w:rPr>
          <w:rFonts w:ascii="Century" w:hAnsi="Century" w:cs="Miriam"/>
          <w:b/>
          <w:spacing w:val="0"/>
          <w:sz w:val="22"/>
          <w:szCs w:val="24"/>
          <w:rtl/>
        </w:rPr>
        <w:t xml:space="preserve"> </w:t>
      </w:r>
      <w:r w:rsidRPr="00046E68">
        <w:rPr>
          <w:rFonts w:ascii="Century" w:hAnsi="Century" w:cs="Miriam" w:hint="eastAsia"/>
          <w:b/>
          <w:spacing w:val="0"/>
          <w:sz w:val="22"/>
          <w:szCs w:val="24"/>
          <w:rtl/>
        </w:rPr>
        <w:t>המקומית</w:t>
      </w:r>
      <w:r w:rsidRPr="00046E68">
        <w:rPr>
          <w:rFonts w:ascii="Century" w:hAnsi="Century" w:cs="Miriam"/>
          <w:b/>
          <w:spacing w:val="0"/>
          <w:sz w:val="22"/>
          <w:szCs w:val="24"/>
          <w:rtl/>
        </w:rPr>
        <w:t xml:space="preserve"> </w:t>
      </w:r>
      <w:r w:rsidRPr="00046E68">
        <w:rPr>
          <w:rFonts w:ascii="Century" w:hAnsi="Century" w:cs="Miriam" w:hint="eastAsia"/>
          <w:b/>
          <w:spacing w:val="0"/>
          <w:sz w:val="22"/>
          <w:szCs w:val="24"/>
          <w:rtl/>
        </w:rPr>
        <w:lastRenderedPageBreak/>
        <w:t>קדימה</w:t>
      </w:r>
      <w:r w:rsidRPr="00046E68">
        <w:rPr>
          <w:rFonts w:ascii="Century" w:hAnsi="Century" w:cs="Miriam"/>
          <w:b/>
          <w:spacing w:val="0"/>
          <w:sz w:val="22"/>
          <w:szCs w:val="24"/>
          <w:rtl/>
        </w:rPr>
        <w:t>-</w:t>
      </w:r>
      <w:r w:rsidRPr="00046E68">
        <w:rPr>
          <w:rFonts w:ascii="Century" w:hAnsi="Century" w:cs="Miriam" w:hint="eastAsia"/>
          <w:b/>
          <w:spacing w:val="0"/>
          <w:sz w:val="22"/>
          <w:szCs w:val="24"/>
          <w:rtl/>
        </w:rPr>
        <w:t>צורן</w:t>
      </w:r>
      <w:r w:rsidRPr="00046E68">
        <w:rPr>
          <w:rFonts w:ascii="Century" w:hAnsi="Century" w:cs="Miriam"/>
          <w:b/>
          <w:spacing w:val="0"/>
          <w:sz w:val="22"/>
          <w:szCs w:val="24"/>
          <w:rtl/>
        </w:rPr>
        <w:t xml:space="preserve"> </w:t>
      </w:r>
      <w:r w:rsidRPr="00046E68">
        <w:rPr>
          <w:rFonts w:ascii="Century" w:hAnsi="Century" w:cs="Miriam" w:hint="eastAsia"/>
          <w:b/>
          <w:spacing w:val="0"/>
          <w:sz w:val="22"/>
          <w:szCs w:val="24"/>
          <w:rtl/>
        </w:rPr>
        <w:t>נ</w:t>
      </w:r>
      <w:r w:rsidRPr="00046E68">
        <w:rPr>
          <w:rFonts w:ascii="Century" w:hAnsi="Century" w:cs="Miriam"/>
          <w:b/>
          <w:spacing w:val="0"/>
          <w:sz w:val="22"/>
          <w:szCs w:val="24"/>
          <w:rtl/>
        </w:rPr>
        <w:t xml:space="preserve">' </w:t>
      </w:r>
      <w:r w:rsidRPr="00046E68">
        <w:rPr>
          <w:rFonts w:ascii="Century" w:hAnsi="Century" w:cs="Miriam" w:hint="eastAsia"/>
          <w:b/>
          <w:spacing w:val="0"/>
          <w:sz w:val="22"/>
          <w:szCs w:val="24"/>
          <w:rtl/>
        </w:rPr>
        <w:t>שר</w:t>
      </w:r>
      <w:r w:rsidRPr="00046E68">
        <w:rPr>
          <w:rFonts w:ascii="Century" w:hAnsi="Century" w:cs="Miriam"/>
          <w:b/>
          <w:spacing w:val="0"/>
          <w:sz w:val="22"/>
          <w:szCs w:val="24"/>
          <w:rtl/>
        </w:rPr>
        <w:t xml:space="preserve"> </w:t>
      </w:r>
      <w:r w:rsidRPr="00046E68">
        <w:rPr>
          <w:rFonts w:ascii="Century" w:hAnsi="Century" w:cs="Miriam" w:hint="eastAsia"/>
          <w:b/>
          <w:spacing w:val="0"/>
          <w:sz w:val="22"/>
          <w:szCs w:val="24"/>
          <w:rtl/>
        </w:rPr>
        <w:t>הפנים</w:t>
      </w:r>
      <w:r w:rsidRPr="00544748">
        <w:rPr>
          <w:rtl/>
        </w:rPr>
        <w:t xml:space="preserve">, </w:t>
      </w:r>
      <w:r w:rsidRPr="00544748">
        <w:rPr>
          <w:rFonts w:hint="eastAsia"/>
          <w:rtl/>
        </w:rPr>
        <w:t>פסקה</w:t>
      </w:r>
      <w:r w:rsidRPr="00544748">
        <w:rPr>
          <w:rtl/>
        </w:rPr>
        <w:t xml:space="preserve"> 8 (30.6.2021)</w:t>
      </w:r>
      <w:r>
        <w:rPr>
          <w:rFonts w:hint="cs"/>
          <w:rtl/>
        </w:rPr>
        <w:t xml:space="preserve">). זאת מן הטעם שלא מתקיים הבסיס </w:t>
      </w:r>
      <w:r w:rsidR="00574202">
        <w:rPr>
          <w:rFonts w:hint="cs"/>
          <w:rtl/>
        </w:rPr>
        <w:t>ה</w:t>
      </w:r>
      <w:bookmarkStart w:id="5" w:name="_GoBack"/>
      <w:bookmarkEnd w:id="5"/>
      <w:r>
        <w:rPr>
          <w:rFonts w:hint="cs"/>
          <w:rtl/>
        </w:rPr>
        <w:t xml:space="preserve">נדרש לקיום ביקורת שיפוטית על ההחלטה, ואף ייתכן שלאחר שתינתן החלטתה הסופית של הרשות המוסמכת, הדיון בסוגיה יתייתר, ולמצער יביא הדבר לחידוד המחלוקת בין הצדדים וכפועל יוצא לקיום דיון בצורה יעילה יותר (ראו: </w:t>
      </w:r>
      <w:r w:rsidRPr="00F150BE">
        <w:rPr>
          <w:rtl/>
        </w:rPr>
        <w:t xml:space="preserve">בג"ץ 3911/21 </w:t>
      </w:r>
      <w:proofErr w:type="spellStart"/>
      <w:r w:rsidRPr="00F150BE">
        <w:rPr>
          <w:rFonts w:ascii="Century" w:hAnsi="Century" w:cs="Miriam"/>
          <w:b/>
          <w:spacing w:val="0"/>
          <w:sz w:val="22"/>
          <w:szCs w:val="24"/>
          <w:rtl/>
        </w:rPr>
        <w:t>ק.ל.ע</w:t>
      </w:r>
      <w:proofErr w:type="spellEnd"/>
      <w:r w:rsidRPr="00F150BE">
        <w:rPr>
          <w:rFonts w:ascii="Century" w:hAnsi="Century" w:cs="Miriam"/>
          <w:b/>
          <w:spacing w:val="0"/>
          <w:sz w:val="22"/>
          <w:szCs w:val="24"/>
          <w:rtl/>
        </w:rPr>
        <w:t>. חברה לניהול קרן השתלמות לעובדים סוציאליים בע"מ נ' שר האוצר</w:t>
      </w:r>
      <w:r w:rsidRPr="00F150BE">
        <w:rPr>
          <w:rtl/>
        </w:rPr>
        <w:t xml:space="preserve"> </w:t>
      </w:r>
      <w:r>
        <w:rPr>
          <w:rFonts w:hint="cs"/>
          <w:rtl/>
        </w:rPr>
        <w:t xml:space="preserve">פסקה 7 והאסמכתאות שם </w:t>
      </w:r>
      <w:r w:rsidRPr="00F150BE">
        <w:rPr>
          <w:rtl/>
        </w:rPr>
        <w:t>(16.03.2022)</w:t>
      </w:r>
      <w:r>
        <w:rPr>
          <w:rFonts w:hint="cs"/>
          <w:rtl/>
        </w:rPr>
        <w:t>).</w:t>
      </w:r>
    </w:p>
    <w:p w:rsidR="009973CC" w:rsidRDefault="009973CC" w:rsidP="009973CC">
      <w:pPr>
        <w:pStyle w:val="Ruller40"/>
        <w:rPr>
          <w:rtl/>
        </w:rPr>
      </w:pPr>
    </w:p>
    <w:p w:rsidR="009973CC" w:rsidRDefault="009973CC" w:rsidP="009973CC">
      <w:pPr>
        <w:pStyle w:val="Ruller4"/>
      </w:pPr>
      <w:r>
        <w:rPr>
          <w:rFonts w:hint="cs"/>
          <w:rtl/>
        </w:rPr>
        <w:t>בענייננו, טרם הוגשה התייחסות העותרת לתלונה, וממילא עוד לא התקבלה החלטה סופית של הנציב בתלונה, באופן המאפשר העברתה תחת שבט הביקורת השיפוטית. ודוק, ההחלטה לבקש את התייחסות העותרת היא בגדר "החלטת ביניים", אשר אינה מצדיקה דיון בבית משפט זה, בטרם התקבלה החלטה סופית בעניינה (</w:t>
      </w:r>
      <w:r w:rsidRPr="00D30151">
        <w:rPr>
          <w:rFonts w:hint="eastAsia"/>
          <w:rtl/>
        </w:rPr>
        <w:t>ראו</w:t>
      </w:r>
      <w:r w:rsidRPr="00D30151">
        <w:rPr>
          <w:rtl/>
        </w:rPr>
        <w:t xml:space="preserve">: </w:t>
      </w:r>
      <w:r w:rsidRPr="00D30151">
        <w:rPr>
          <w:rFonts w:hint="eastAsia"/>
          <w:rtl/>
        </w:rPr>
        <w:t>בג</w:t>
      </w:r>
      <w:r w:rsidRPr="00D30151">
        <w:rPr>
          <w:rtl/>
        </w:rPr>
        <w:t>"</w:t>
      </w:r>
      <w:r w:rsidRPr="00D30151">
        <w:rPr>
          <w:rFonts w:hint="eastAsia"/>
          <w:rtl/>
        </w:rPr>
        <w:t>ץ</w:t>
      </w:r>
      <w:r w:rsidRPr="00D30151">
        <w:rPr>
          <w:rtl/>
        </w:rPr>
        <w:t xml:space="preserve"> 11384/05</w:t>
      </w:r>
      <w:r>
        <w:rPr>
          <w:rFonts w:hint="cs"/>
          <w:rtl/>
        </w:rPr>
        <w:t xml:space="preserve"> </w:t>
      </w:r>
      <w:r w:rsidRPr="003F0BD2">
        <w:rPr>
          <w:rFonts w:ascii="Century" w:hAnsi="Century" w:cs="Miriam" w:hint="cs"/>
          <w:b/>
          <w:spacing w:val="0"/>
          <w:szCs w:val="24"/>
          <w:rtl/>
        </w:rPr>
        <w:t xml:space="preserve">עמותת </w:t>
      </w:r>
      <w:proofErr w:type="spellStart"/>
      <w:r w:rsidRPr="003F0BD2">
        <w:rPr>
          <w:rFonts w:ascii="Century" w:hAnsi="Century" w:cs="Miriam" w:hint="cs"/>
          <w:b/>
          <w:spacing w:val="0"/>
          <w:szCs w:val="24"/>
          <w:rtl/>
        </w:rPr>
        <w:t>אומ"ץ</w:t>
      </w:r>
      <w:proofErr w:type="spellEnd"/>
      <w:r w:rsidRPr="003F0BD2">
        <w:rPr>
          <w:rFonts w:ascii="Century" w:hAnsi="Century" w:cs="Miriam" w:hint="cs"/>
          <w:b/>
          <w:spacing w:val="0"/>
          <w:szCs w:val="24"/>
          <w:rtl/>
        </w:rPr>
        <w:t xml:space="preserve"> - אזרחים למען </w:t>
      </w:r>
      <w:proofErr w:type="spellStart"/>
      <w:r w:rsidRPr="003F0BD2">
        <w:rPr>
          <w:rFonts w:ascii="Century" w:hAnsi="Century" w:cs="Miriam" w:hint="cs"/>
          <w:b/>
          <w:spacing w:val="0"/>
          <w:szCs w:val="24"/>
          <w:rtl/>
        </w:rPr>
        <w:t>מינהל</w:t>
      </w:r>
      <w:proofErr w:type="spellEnd"/>
      <w:r w:rsidRPr="003F0BD2">
        <w:rPr>
          <w:rFonts w:ascii="Century" w:hAnsi="Century" w:cs="Miriam" w:hint="cs"/>
          <w:b/>
          <w:spacing w:val="0"/>
          <w:szCs w:val="24"/>
          <w:rtl/>
        </w:rPr>
        <w:t xml:space="preserve"> תקין, צדק חברתי ומשפטי נ' ועדת הכנסת</w:t>
      </w:r>
      <w:r>
        <w:rPr>
          <w:rFonts w:hint="cs"/>
          <w:rtl/>
        </w:rPr>
        <w:t xml:space="preserve"> (22.1.2006); </w:t>
      </w:r>
      <w:r w:rsidRPr="00AD624B">
        <w:rPr>
          <w:rtl/>
        </w:rPr>
        <w:t xml:space="preserve">בג"ץ 4885/13 </w:t>
      </w:r>
      <w:r w:rsidRPr="003F0BD2">
        <w:rPr>
          <w:rFonts w:ascii="Century" w:hAnsi="Century" w:cs="Miriam"/>
          <w:b/>
          <w:spacing w:val="0"/>
          <w:sz w:val="22"/>
          <w:szCs w:val="24"/>
          <w:rtl/>
        </w:rPr>
        <w:t>רמת דוד - חינוך מיוחד נ' משרד החינוך</w:t>
      </w:r>
      <w:r w:rsidRPr="003F0BD2">
        <w:rPr>
          <w:rFonts w:ascii="Century" w:hAnsi="Century" w:cs="Miriam" w:hint="cs"/>
          <w:b/>
          <w:spacing w:val="0"/>
          <w:sz w:val="22"/>
          <w:szCs w:val="24"/>
          <w:rtl/>
        </w:rPr>
        <w:t>,</w:t>
      </w:r>
      <w:r w:rsidRPr="003F0BD2">
        <w:rPr>
          <w:rFonts w:ascii="Century" w:hAnsi="Century" w:hint="cs"/>
          <w:sz w:val="22"/>
          <w:rtl/>
        </w:rPr>
        <w:t xml:space="preserve"> פסקה 21</w:t>
      </w:r>
      <w:r w:rsidRPr="003F0BD2">
        <w:rPr>
          <w:rFonts w:ascii="Century" w:hAnsi="Century"/>
          <w:sz w:val="22"/>
          <w:rtl/>
        </w:rPr>
        <w:t xml:space="preserve"> </w:t>
      </w:r>
      <w:r w:rsidRPr="00AD624B">
        <w:rPr>
          <w:rtl/>
        </w:rPr>
        <w:t>(</w:t>
      </w:r>
      <w:r>
        <w:rPr>
          <w:rFonts w:hint="cs"/>
          <w:rtl/>
        </w:rPr>
        <w:t>4</w:t>
      </w:r>
      <w:r w:rsidRPr="00AD624B">
        <w:rPr>
          <w:rtl/>
        </w:rPr>
        <w:t>.</w:t>
      </w:r>
      <w:r>
        <w:rPr>
          <w:rFonts w:hint="cs"/>
          <w:rtl/>
        </w:rPr>
        <w:t>5</w:t>
      </w:r>
      <w:r w:rsidRPr="00AD624B">
        <w:rPr>
          <w:rtl/>
        </w:rPr>
        <w:t>.2014)</w:t>
      </w:r>
      <w:r>
        <w:rPr>
          <w:rFonts w:hint="cs"/>
          <w:rtl/>
        </w:rPr>
        <w:t xml:space="preserve">). </w:t>
      </w:r>
    </w:p>
    <w:p w:rsidR="009973CC" w:rsidRDefault="009973CC" w:rsidP="009973CC">
      <w:pPr>
        <w:pStyle w:val="Ruller4"/>
        <w:numPr>
          <w:ilvl w:val="0"/>
          <w:numId w:val="0"/>
        </w:numPr>
      </w:pPr>
    </w:p>
    <w:p w:rsidR="009973CC" w:rsidRDefault="009973CC" w:rsidP="009973CC">
      <w:pPr>
        <w:pStyle w:val="Ruller4"/>
        <w:overflowPunct/>
        <w:autoSpaceDE/>
        <w:autoSpaceDN/>
        <w:adjustRightInd/>
        <w:textAlignment w:val="auto"/>
        <w:rPr>
          <w:rtl/>
        </w:rPr>
      </w:pPr>
      <w:r>
        <w:rPr>
          <w:rFonts w:hint="cs"/>
          <w:rtl/>
        </w:rPr>
        <w:t xml:space="preserve">אמנם, פגם בסמכות הרשות עלול להוות חריג לכלל לפיו בית המשפט אינו נדרש לביקורת שיפוטית טרם קיבלה הרשות החלטה סופית לגופו של עניין (ראו: יצחק זמיר </w:t>
      </w:r>
      <w:r w:rsidRPr="00D30151">
        <w:rPr>
          <w:rFonts w:ascii="Century" w:hAnsi="Century" w:cs="Miriam" w:hint="eastAsia"/>
          <w:b/>
          <w:spacing w:val="0"/>
          <w:sz w:val="22"/>
          <w:szCs w:val="24"/>
          <w:rtl/>
        </w:rPr>
        <w:t>הסמכות</w:t>
      </w:r>
      <w:r w:rsidRPr="00D30151">
        <w:rPr>
          <w:rFonts w:ascii="Century" w:hAnsi="Century" w:cs="Miriam"/>
          <w:b/>
          <w:spacing w:val="0"/>
          <w:sz w:val="22"/>
          <w:szCs w:val="24"/>
          <w:rtl/>
        </w:rPr>
        <w:t xml:space="preserve"> </w:t>
      </w:r>
      <w:proofErr w:type="spellStart"/>
      <w:r w:rsidRPr="00D30151">
        <w:rPr>
          <w:rFonts w:ascii="Century" w:hAnsi="Century" w:cs="Miriam" w:hint="eastAsia"/>
          <w:b/>
          <w:spacing w:val="0"/>
          <w:sz w:val="22"/>
          <w:szCs w:val="24"/>
          <w:rtl/>
        </w:rPr>
        <w:t>המינהלית</w:t>
      </w:r>
      <w:proofErr w:type="spellEnd"/>
      <w:r w:rsidRPr="00606F7D">
        <w:rPr>
          <w:rFonts w:hint="cs"/>
          <w:rtl/>
        </w:rPr>
        <w:t xml:space="preserve"> </w:t>
      </w:r>
      <w:r>
        <w:rPr>
          <w:rFonts w:hint="cs"/>
          <w:rtl/>
        </w:rPr>
        <w:t xml:space="preserve">כרך ג' </w:t>
      </w:r>
      <w:r>
        <w:rPr>
          <w:rtl/>
        </w:rPr>
        <w:t>–</w:t>
      </w:r>
      <w:r>
        <w:rPr>
          <w:rFonts w:hint="cs"/>
          <w:rtl/>
        </w:rPr>
        <w:t xml:space="preserve"> הביקורת השיפוטית: כללי הסף 1902-1900 (מהדורה שנייה, 2014)</w:t>
      </w:r>
      <w:r>
        <w:rPr>
          <w:rFonts w:hint="cs"/>
        </w:rPr>
        <w:t xml:space="preserve"> </w:t>
      </w:r>
      <w:r>
        <w:rPr>
          <w:rFonts w:hint="cs"/>
          <w:rtl/>
        </w:rPr>
        <w:t xml:space="preserve">(להלן: </w:t>
      </w:r>
      <w:r w:rsidRPr="00606F7D">
        <w:rPr>
          <w:rFonts w:ascii="Century" w:hAnsi="Century" w:cs="Miriam" w:hint="cs"/>
          <w:b/>
          <w:spacing w:val="0"/>
          <w:sz w:val="22"/>
          <w:szCs w:val="24"/>
          <w:rtl/>
        </w:rPr>
        <w:t xml:space="preserve">זמיר, הסמכות </w:t>
      </w:r>
      <w:proofErr w:type="spellStart"/>
      <w:r w:rsidRPr="00606F7D">
        <w:rPr>
          <w:rFonts w:ascii="Century" w:hAnsi="Century" w:cs="Miriam" w:hint="cs"/>
          <w:b/>
          <w:spacing w:val="0"/>
          <w:sz w:val="22"/>
          <w:szCs w:val="24"/>
          <w:rtl/>
        </w:rPr>
        <w:t>המינהלית</w:t>
      </w:r>
      <w:proofErr w:type="spellEnd"/>
      <w:r>
        <w:rPr>
          <w:rFonts w:hint="cs"/>
          <w:rtl/>
        </w:rPr>
        <w:t xml:space="preserve">). חרף האמור, לא כל טענה לפגם בסמכות מקימה, בהכרח את החריג האמור (השוו, למשל: </w:t>
      </w:r>
      <w:r w:rsidRPr="00D30151">
        <w:rPr>
          <w:rFonts w:hint="eastAsia"/>
          <w:rtl/>
        </w:rPr>
        <w:t>בג</w:t>
      </w:r>
      <w:r w:rsidRPr="00D30151">
        <w:rPr>
          <w:rtl/>
        </w:rPr>
        <w:t>"</w:t>
      </w:r>
      <w:r w:rsidRPr="00D30151">
        <w:rPr>
          <w:rFonts w:hint="eastAsia"/>
          <w:rtl/>
        </w:rPr>
        <w:t>ץ</w:t>
      </w:r>
      <w:r w:rsidRPr="00D30151">
        <w:rPr>
          <w:rtl/>
        </w:rPr>
        <w:t xml:space="preserve"> 2352/18 </w:t>
      </w:r>
      <w:r w:rsidRPr="00D30151">
        <w:rPr>
          <w:rFonts w:ascii="Century" w:hAnsi="Century" w:cs="Miriam" w:hint="eastAsia"/>
          <w:b/>
          <w:spacing w:val="0"/>
          <w:sz w:val="22"/>
          <w:szCs w:val="24"/>
          <w:rtl/>
        </w:rPr>
        <w:t>קיבוץ</w:t>
      </w:r>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רעים</w:t>
      </w:r>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נ</w:t>
      </w:r>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רשות</w:t>
      </w:r>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מקרקעי</w:t>
      </w:r>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ישראל</w:t>
      </w:r>
      <w:r>
        <w:rPr>
          <w:rFonts w:hint="cs"/>
          <w:rtl/>
        </w:rPr>
        <w:t xml:space="preserve">, פסקה 2 </w:t>
      </w:r>
      <w:r w:rsidRPr="00D30151">
        <w:rPr>
          <w:rtl/>
        </w:rPr>
        <w:t>(29.10.2018)</w:t>
      </w:r>
      <w:r>
        <w:rPr>
          <w:rFonts w:hint="cs"/>
          <w:rtl/>
        </w:rPr>
        <w:t>;</w:t>
      </w:r>
      <w:r>
        <w:rPr>
          <w:rFonts w:hint="cs"/>
        </w:rPr>
        <w:t xml:space="preserve"> </w:t>
      </w:r>
      <w:r w:rsidRPr="00D30151">
        <w:rPr>
          <w:rFonts w:hint="eastAsia"/>
          <w:rtl/>
        </w:rPr>
        <w:t>בג</w:t>
      </w:r>
      <w:r w:rsidRPr="00D30151">
        <w:rPr>
          <w:rtl/>
        </w:rPr>
        <w:t>"</w:t>
      </w:r>
      <w:r w:rsidRPr="00D30151">
        <w:rPr>
          <w:rFonts w:hint="eastAsia"/>
          <w:rtl/>
        </w:rPr>
        <w:t>ץ</w:t>
      </w:r>
      <w:r w:rsidRPr="00D30151">
        <w:rPr>
          <w:rtl/>
        </w:rPr>
        <w:t xml:space="preserve"> 4490/15 </w:t>
      </w:r>
      <w:r w:rsidRPr="00D30151">
        <w:rPr>
          <w:rFonts w:ascii="Century" w:hAnsi="Century" w:cs="Miriam" w:hint="eastAsia"/>
          <w:b/>
          <w:spacing w:val="0"/>
          <w:sz w:val="22"/>
          <w:szCs w:val="24"/>
          <w:rtl/>
        </w:rPr>
        <w:t>ד</w:t>
      </w:r>
      <w:r w:rsidRPr="00D30151">
        <w:rPr>
          <w:rFonts w:ascii="Century" w:hAnsi="Century" w:cs="Miriam"/>
          <w:b/>
          <w:spacing w:val="0"/>
          <w:sz w:val="22"/>
          <w:szCs w:val="24"/>
          <w:rtl/>
        </w:rPr>
        <w:t>"</w:t>
      </w:r>
      <w:r w:rsidRPr="00D30151">
        <w:rPr>
          <w:rFonts w:ascii="Century" w:hAnsi="Century" w:cs="Miriam" w:hint="eastAsia"/>
          <w:b/>
          <w:spacing w:val="0"/>
          <w:sz w:val="22"/>
          <w:szCs w:val="24"/>
          <w:rtl/>
        </w:rPr>
        <w:t>ר</w:t>
      </w:r>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וינברג</w:t>
      </w:r>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נ</w:t>
      </w:r>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הרב</w:t>
      </w:r>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נסים</w:t>
      </w:r>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בן</w:t>
      </w:r>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שמעון</w:t>
      </w:r>
      <w:r w:rsidRPr="00D30151">
        <w:rPr>
          <w:rFonts w:ascii="Century" w:hAnsi="Century" w:cs="Miriam"/>
          <w:b/>
          <w:spacing w:val="0"/>
          <w:sz w:val="22"/>
          <w:szCs w:val="24"/>
          <w:rtl/>
        </w:rPr>
        <w:t xml:space="preserve">, </w:t>
      </w:r>
      <w:proofErr w:type="spellStart"/>
      <w:r w:rsidRPr="00D30151">
        <w:rPr>
          <w:rFonts w:ascii="Century" w:hAnsi="Century" w:cs="Miriam" w:hint="eastAsia"/>
          <w:b/>
          <w:spacing w:val="0"/>
          <w:sz w:val="22"/>
          <w:szCs w:val="24"/>
          <w:rtl/>
        </w:rPr>
        <w:t>ראב</w:t>
      </w:r>
      <w:r w:rsidRPr="00D30151">
        <w:rPr>
          <w:rFonts w:ascii="Century" w:hAnsi="Century" w:cs="Miriam"/>
          <w:b/>
          <w:spacing w:val="0"/>
          <w:sz w:val="22"/>
          <w:szCs w:val="24"/>
          <w:rtl/>
        </w:rPr>
        <w:t>"</w:t>
      </w:r>
      <w:r w:rsidRPr="00D30151">
        <w:rPr>
          <w:rFonts w:ascii="Century" w:hAnsi="Century" w:cs="Miriam" w:hint="eastAsia"/>
          <w:b/>
          <w:spacing w:val="0"/>
          <w:sz w:val="22"/>
          <w:szCs w:val="24"/>
          <w:rtl/>
        </w:rPr>
        <w:t>ד</w:t>
      </w:r>
      <w:proofErr w:type="spellEnd"/>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בדימוס</w:t>
      </w:r>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בית</w:t>
      </w:r>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הדין</w:t>
      </w:r>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הרבני</w:t>
      </w:r>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האזורי</w:t>
      </w:r>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תל</w:t>
      </w:r>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אביב</w:t>
      </w:r>
      <w:r w:rsidRPr="00D30151">
        <w:rPr>
          <w:rtl/>
        </w:rPr>
        <w:t xml:space="preserve"> (</w:t>
      </w:r>
      <w:r>
        <w:rPr>
          <w:rFonts w:hint="cs"/>
          <w:rtl/>
        </w:rPr>
        <w:t>4</w:t>
      </w:r>
      <w:r w:rsidRPr="00D30151">
        <w:rPr>
          <w:rtl/>
        </w:rPr>
        <w:t>.</w:t>
      </w:r>
      <w:r>
        <w:rPr>
          <w:rFonts w:hint="cs"/>
          <w:rtl/>
        </w:rPr>
        <w:t>8</w:t>
      </w:r>
      <w:r w:rsidRPr="00D30151">
        <w:rPr>
          <w:rtl/>
        </w:rPr>
        <w:t>.2015)</w:t>
      </w:r>
      <w:r>
        <w:rPr>
          <w:rFonts w:hint="cs"/>
          <w:rtl/>
        </w:rPr>
        <w:t>). לצורך זה האחרון יש לבחון מגוון שיקולים, למשל: האם יש יסוד לכאורה לטענה כי הרשות המנהלית משוללת סמכות; האם הטיפול על-ידי הרשות המנהלית, עד קבלת החלטה לגופו של עניין, צפוי להימשך זמן רב ולדרוש משאבים מרובים; האם קבלת החלטה על-ידי הרשות המנהלית צפויה לגרום נזק רב, כגון שלילת חירותו של אדם, ועוד (</w:t>
      </w:r>
      <w:r w:rsidRPr="00D30151">
        <w:rPr>
          <w:rFonts w:ascii="Century" w:hAnsi="Century" w:cs="Miriam" w:hint="eastAsia"/>
          <w:b/>
          <w:spacing w:val="0"/>
          <w:sz w:val="22"/>
          <w:szCs w:val="24"/>
          <w:rtl/>
        </w:rPr>
        <w:t>זמיר</w:t>
      </w:r>
      <w:r>
        <w:rPr>
          <w:rFonts w:ascii="Century" w:hAnsi="Century" w:cs="Miriam" w:hint="cs"/>
          <w:b/>
          <w:spacing w:val="0"/>
          <w:sz w:val="22"/>
          <w:szCs w:val="24"/>
          <w:rtl/>
        </w:rPr>
        <w:t>,</w:t>
      </w:r>
      <w:r w:rsidRPr="00D30151">
        <w:rPr>
          <w:rFonts w:ascii="Century" w:hAnsi="Century" w:cs="Miriam"/>
          <w:b/>
          <w:spacing w:val="0"/>
          <w:sz w:val="22"/>
          <w:szCs w:val="24"/>
          <w:rtl/>
        </w:rPr>
        <w:t xml:space="preserve"> </w:t>
      </w:r>
      <w:r w:rsidRPr="00D30151">
        <w:rPr>
          <w:rFonts w:ascii="Century" w:hAnsi="Century" w:cs="Miriam" w:hint="eastAsia"/>
          <w:b/>
          <w:spacing w:val="0"/>
          <w:sz w:val="22"/>
          <w:szCs w:val="24"/>
          <w:rtl/>
        </w:rPr>
        <w:t>הסמכות</w:t>
      </w:r>
      <w:r w:rsidRPr="00D30151">
        <w:rPr>
          <w:rFonts w:ascii="Century" w:hAnsi="Century" w:cs="Miriam"/>
          <w:b/>
          <w:spacing w:val="0"/>
          <w:sz w:val="22"/>
          <w:szCs w:val="24"/>
          <w:rtl/>
        </w:rPr>
        <w:t xml:space="preserve"> </w:t>
      </w:r>
      <w:proofErr w:type="spellStart"/>
      <w:r w:rsidRPr="00D30151">
        <w:rPr>
          <w:rFonts w:ascii="Century" w:hAnsi="Century" w:cs="Miriam" w:hint="eastAsia"/>
          <w:b/>
          <w:spacing w:val="0"/>
          <w:sz w:val="22"/>
          <w:szCs w:val="24"/>
          <w:rtl/>
        </w:rPr>
        <w:t>המינהלית</w:t>
      </w:r>
      <w:proofErr w:type="spellEnd"/>
      <w:r>
        <w:rPr>
          <w:rFonts w:hint="cs"/>
          <w:rtl/>
        </w:rPr>
        <w:t xml:space="preserve">, שם).  </w:t>
      </w:r>
    </w:p>
    <w:p w:rsidR="009973CC" w:rsidRDefault="009973CC" w:rsidP="009973CC">
      <w:pPr>
        <w:pStyle w:val="Ruller40"/>
        <w:rPr>
          <w:rtl/>
        </w:rPr>
      </w:pPr>
    </w:p>
    <w:p w:rsidR="009973CC" w:rsidRDefault="009973CC" w:rsidP="007D2F65">
      <w:pPr>
        <w:pStyle w:val="Ruller4"/>
      </w:pPr>
      <w:r>
        <w:rPr>
          <w:rFonts w:hint="cs"/>
          <w:rtl/>
        </w:rPr>
        <w:t xml:space="preserve">במקרה בו עסקינן עמדת הנציב לפיה הוא פועל בתחום סמכותו אינה חסרת בסיס משפטי, אלא נסמכת, לכאורה, על הוראת החוק, ואף תואמת את עמדת היועץ המשפטי לממשלה. על כן, על פני הדברים ומבלי לטעת מסמרות בדבר, לא השתכנענו כי יש בסיס איתן לטענת העותרת כי הרשות המנהלית פועלת בחוסר סמכות. גם הנזק הטמון בהחלטת הנציב בנסיבות דנן הוא בעל היקף מצומצם, הואיל ועסקינן בבירור </w:t>
      </w:r>
      <w:r>
        <w:rPr>
          <w:rFonts w:hint="cs"/>
          <w:rtl/>
        </w:rPr>
        <w:lastRenderedPageBreak/>
        <w:t>תלונה על-ידי נציב תלונות ציבור, ואף משך הזמן והמשאבים הכרוכים בהמשך הטיפול על ידי הנציב אינם על הצד הגבוה. במצב דברים זה, סבר</w:t>
      </w:r>
      <w:r w:rsidR="007D2F65">
        <w:rPr>
          <w:rFonts w:hint="cs"/>
          <w:rtl/>
        </w:rPr>
        <w:t>נו</w:t>
      </w:r>
      <w:r>
        <w:rPr>
          <w:rFonts w:hint="cs"/>
          <w:rtl/>
        </w:rPr>
        <w:t xml:space="preserve"> כי לא מתקיים בעניינו החריג לכלל. </w:t>
      </w:r>
    </w:p>
    <w:p w:rsidR="009973CC" w:rsidRPr="006F4EDC" w:rsidRDefault="009973CC" w:rsidP="009973CC">
      <w:pPr>
        <w:pStyle w:val="Ruller40"/>
      </w:pPr>
    </w:p>
    <w:p w:rsidR="009973CC" w:rsidRPr="006C21B5" w:rsidRDefault="009973CC" w:rsidP="009973CC">
      <w:pPr>
        <w:pStyle w:val="Ruller4"/>
        <w:rPr>
          <w:rtl/>
        </w:rPr>
      </w:pPr>
      <w:r>
        <w:rPr>
          <w:rFonts w:hint="cs"/>
          <w:rtl/>
        </w:rPr>
        <w:t>אי-לכך, דינה של העתירה להידחות על הסף מחמת היותה מוקדמת. הבקשה לצו ביניים נדחית אף היא.</w:t>
      </w:r>
      <w:r w:rsidRPr="006C21B5">
        <w:rPr>
          <w:rFonts w:hint="cs"/>
          <w:rtl/>
        </w:rPr>
        <w:t xml:space="preserve"> </w:t>
      </w:r>
      <w:r>
        <w:rPr>
          <w:rFonts w:hint="cs"/>
          <w:rtl/>
        </w:rPr>
        <w:t xml:space="preserve">לפנים משורת הדין, </w:t>
      </w:r>
      <w:r w:rsidRPr="006C21B5">
        <w:rPr>
          <w:rFonts w:hint="cs"/>
          <w:rtl/>
        </w:rPr>
        <w:t>אין צו להוצאות.</w:t>
      </w:r>
    </w:p>
    <w:p w:rsidR="009973CC" w:rsidRDefault="009973CC" w:rsidP="009973CC">
      <w:pPr>
        <w:pStyle w:val="Ruller40"/>
        <w:rPr>
          <w:rtl/>
        </w:rPr>
      </w:pPr>
    </w:p>
    <w:p w:rsidR="009973CC" w:rsidRDefault="009973CC" w:rsidP="009973CC">
      <w:pPr>
        <w:pStyle w:val="Ruller40"/>
        <w:rPr>
          <w:rtl/>
        </w:rPr>
      </w:pPr>
    </w:p>
    <w:p w:rsidR="009973CC" w:rsidRDefault="009973CC" w:rsidP="009973CC">
      <w:pPr>
        <w:pStyle w:val="Ruller40"/>
        <w:rPr>
          <w:rtl/>
        </w:rPr>
      </w:pPr>
      <w:r>
        <w:rPr>
          <w:rtl/>
        </w:rPr>
        <w:tab/>
        <w:t xml:space="preserve">ניתן היום, </w:t>
      </w:r>
      <w:r>
        <w:rPr>
          <w:rFonts w:hint="eastAsia"/>
          <w:rtl/>
        </w:rPr>
        <w:t>‏</w:t>
      </w:r>
      <w:r>
        <w:rPr>
          <w:rFonts w:hint="cs"/>
          <w:rtl/>
        </w:rPr>
        <w:t>ב</w:t>
      </w:r>
      <w:r>
        <w:rPr>
          <w:rtl/>
        </w:rPr>
        <w:t xml:space="preserve">' בסיון </w:t>
      </w:r>
      <w:proofErr w:type="spellStart"/>
      <w:r>
        <w:rPr>
          <w:rtl/>
        </w:rPr>
        <w:t>התשפ"ב</w:t>
      </w:r>
      <w:proofErr w:type="spellEnd"/>
      <w:r>
        <w:rPr>
          <w:rtl/>
        </w:rPr>
        <w:t xml:space="preserve"> (</w:t>
      </w:r>
      <w:r>
        <w:rPr>
          <w:rFonts w:hint="eastAsia"/>
          <w:rtl/>
        </w:rPr>
        <w:t>‏</w:t>
      </w:r>
      <w:r>
        <w:rPr>
          <w:rFonts w:hint="cs"/>
          <w:rtl/>
        </w:rPr>
        <w:t>1</w:t>
      </w:r>
      <w:r>
        <w:rPr>
          <w:rtl/>
        </w:rPr>
        <w:t>.</w:t>
      </w:r>
      <w:r>
        <w:rPr>
          <w:rFonts w:hint="cs"/>
          <w:rtl/>
        </w:rPr>
        <w:t>6</w:t>
      </w:r>
      <w:r>
        <w:rPr>
          <w:rtl/>
        </w:rPr>
        <w:t>.2022).</w:t>
      </w:r>
    </w:p>
    <w:p w:rsidR="00016EF1" w:rsidRDefault="00016EF1" w:rsidP="00A51FAE">
      <w:pPr>
        <w:pStyle w:val="Ruller40"/>
        <w:rPr>
          <w:rtl/>
        </w:rPr>
      </w:pPr>
    </w:p>
    <w:p w:rsidR="009973CC" w:rsidRDefault="009973CC" w:rsidP="00A51FAE">
      <w:pPr>
        <w:pStyle w:val="Ruller40"/>
        <w:rPr>
          <w:rtl/>
        </w:rPr>
      </w:pPr>
    </w:p>
    <w:tbl>
      <w:tblPr>
        <w:bidiVisual/>
        <w:tblW w:w="8363" w:type="dxa"/>
        <w:tblLook w:val="01E0" w:firstRow="1" w:lastRow="1" w:firstColumn="1" w:lastColumn="1" w:noHBand="0" w:noVBand="0"/>
      </w:tblPr>
      <w:tblGrid>
        <w:gridCol w:w="2787"/>
        <w:gridCol w:w="2788"/>
        <w:gridCol w:w="2788"/>
      </w:tblGrid>
      <w:tr w:rsidR="001A0164" w:rsidTr="00D00B1D">
        <w:tc>
          <w:tcPr>
            <w:tcW w:w="2842" w:type="dxa"/>
            <w:shd w:val="clear" w:color="auto" w:fill="auto"/>
          </w:tcPr>
          <w:p w:rsidR="00016EF1" w:rsidRDefault="00130EF4" w:rsidP="00C52B42">
            <w:pPr>
              <w:pStyle w:val="Ruller40"/>
              <w:jc w:val="center"/>
              <w:rPr>
                <w:rtl/>
              </w:rPr>
            </w:pPr>
            <w:r>
              <w:rPr>
                <w:rtl/>
              </w:rPr>
              <w:t>ש ו פ ט</w:t>
            </w:r>
          </w:p>
        </w:tc>
        <w:tc>
          <w:tcPr>
            <w:tcW w:w="2843" w:type="dxa"/>
            <w:shd w:val="clear" w:color="auto" w:fill="auto"/>
          </w:tcPr>
          <w:p w:rsidR="001A0164" w:rsidRDefault="00130EF4" w:rsidP="00C52B42">
            <w:pPr>
              <w:pStyle w:val="Ruller40"/>
              <w:jc w:val="center"/>
              <w:rPr>
                <w:rtl/>
              </w:rPr>
            </w:pPr>
            <w:r>
              <w:rPr>
                <w:rtl/>
              </w:rPr>
              <w:t>ש ו פ ט ת</w:t>
            </w:r>
          </w:p>
        </w:tc>
        <w:tc>
          <w:tcPr>
            <w:tcW w:w="2843" w:type="dxa"/>
            <w:shd w:val="clear" w:color="auto" w:fill="auto"/>
          </w:tcPr>
          <w:p w:rsidR="001A0164" w:rsidRDefault="00130EF4" w:rsidP="00C52B42">
            <w:pPr>
              <w:pStyle w:val="Ruller40"/>
              <w:jc w:val="center"/>
              <w:rPr>
                <w:rtl/>
              </w:rPr>
            </w:pPr>
            <w:r>
              <w:rPr>
                <w:rtl/>
              </w:rPr>
              <w:t>ש ו פ ט</w:t>
            </w:r>
          </w:p>
        </w:tc>
      </w:tr>
    </w:tbl>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130EF4">
        <w:rPr>
          <w:sz w:val="16"/>
        </w:rPr>
        <w:t xml:space="preserve">22014200_Y03.docx   </w:t>
      </w:r>
      <w:r w:rsidR="00130EF4">
        <w:rPr>
          <w:sz w:val="16"/>
          <w:rtl/>
        </w:rPr>
        <w:t>שש</w:t>
      </w:r>
    </w:p>
    <w:p w:rsidR="003F1F97" w:rsidRPr="00782291" w:rsidRDefault="00591983" w:rsidP="00782291">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0C0A71">
        <w:rPr>
          <w:rFonts w:hint="cs"/>
          <w:rtl/>
        </w:rPr>
        <w:t>, 3852*</w:t>
      </w:r>
      <w:r>
        <w:rPr>
          <w:rFonts w:hint="cs"/>
          <w:rtl/>
        </w:rPr>
        <w:t xml:space="preserve"> ; אתר אינטרנט,  </w:t>
      </w:r>
      <w:hyperlink r:id="rId8" w:history="1">
        <w:r w:rsidR="00782291" w:rsidRPr="00BB4C68">
          <w:rPr>
            <w:rStyle w:val="Hyperlink"/>
            <w:sz w:val="16"/>
          </w:rPr>
          <w:t>https://supreme.court.gov.il</w:t>
        </w:r>
      </w:hyperlink>
    </w:p>
    <w:sectPr w:rsidR="003F1F97" w:rsidRPr="00782291" w:rsidSect="009973CC">
      <w:headerReference w:type="even" r:id="rId9"/>
      <w:headerReference w:type="default" r:id="rId10"/>
      <w:footerReference w:type="even" r:id="rId11"/>
      <w:headerReference w:type="first" r:id="rId12"/>
      <w:footerReference w:type="first" r:id="rId13"/>
      <w:endnotePr>
        <w:numFmt w:val="lowerLetter"/>
      </w:endnotePr>
      <w:pgSz w:w="11906" w:h="16838" w:code="9"/>
      <w:pgMar w:top="1418" w:right="1985" w:bottom="1440" w:left="1797" w:header="567" w:footer="397" w:gutter="0"/>
      <w:cols w:space="720"/>
      <w:titlePg/>
      <w:bidi/>
      <w:rtlGutter/>
      <w:docGrid w:linePitch="272"/>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Arial TUR">
    <w:altName w:val="Arial"/>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574202">
      <w:rPr>
        <w:rStyle w:val="a4"/>
        <w:noProof/>
        <w:rtl/>
      </w:rPr>
      <w:t>7</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1E0" w:firstRow="1" w:lastRow="1" w:firstColumn="1" w:lastColumn="1" w:noHBand="0" w:noVBand="0"/>
    </w:tblPr>
    <w:tblGrid>
      <w:gridCol w:w="8124"/>
    </w:tblGrid>
    <w:tr w:rsidR="00FA21B3" w:rsidTr="00AC2323">
      <w:tc>
        <w:tcPr>
          <w:tcW w:w="8528" w:type="dxa"/>
          <w:shd w:val="clear" w:color="auto" w:fill="auto"/>
        </w:tcPr>
        <w:p w:rsidR="00FA21B3" w:rsidRDefault="00FA21B3" w:rsidP="00FA21B3">
          <w:pPr>
            <w:pStyle w:val="a5"/>
            <w:jc w:val="center"/>
            <w:rPr>
              <w:rtl/>
            </w:rPr>
          </w:pPr>
          <w:r w:rsidRPr="00D745E1">
            <w:rPr>
              <w:b/>
              <w:bCs/>
              <w:noProof/>
              <w:sz w:val="16"/>
              <w:szCs w:val="18"/>
              <w:rtl/>
            </w:rPr>
            <w:drawing>
              <wp:inline distT="0" distB="0" distL="0" distR="0" wp14:anchorId="29F7886E" wp14:editId="1839AA9F">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r w:rsidR="00FA21B3" w:rsidTr="00AC2323">
      <w:trPr>
        <w:trHeight w:val="372"/>
      </w:trPr>
      <w:tc>
        <w:tcPr>
          <w:tcW w:w="8528" w:type="dxa"/>
          <w:shd w:val="clear" w:color="auto" w:fill="auto"/>
        </w:tcPr>
        <w:p w:rsidR="00FA21B3" w:rsidRDefault="00FA21B3" w:rsidP="00FA21B3">
          <w:pPr>
            <w:pStyle w:val="a5"/>
            <w:jc w:val="center"/>
            <w:rPr>
              <w:rtl/>
            </w:rPr>
          </w:pPr>
        </w:p>
      </w:tc>
    </w:tr>
  </w:tbl>
  <w:p w:rsidR="00FA21B3" w:rsidRPr="00B9564F" w:rsidRDefault="00FA21B3" w:rsidP="00C52B42">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0645"/>
    <w:rsid w:val="00072AD2"/>
    <w:rsid w:val="000B1478"/>
    <w:rsid w:val="000C0A71"/>
    <w:rsid w:val="000C4690"/>
    <w:rsid w:val="000D25C4"/>
    <w:rsid w:val="00130EF4"/>
    <w:rsid w:val="00134A67"/>
    <w:rsid w:val="001A0164"/>
    <w:rsid w:val="00200D6B"/>
    <w:rsid w:val="00265F6E"/>
    <w:rsid w:val="002876BF"/>
    <w:rsid w:val="002A4A7A"/>
    <w:rsid w:val="002A4BF3"/>
    <w:rsid w:val="002F7BB6"/>
    <w:rsid w:val="003448B2"/>
    <w:rsid w:val="00361DB2"/>
    <w:rsid w:val="003760AD"/>
    <w:rsid w:val="0037622E"/>
    <w:rsid w:val="00377102"/>
    <w:rsid w:val="0039709B"/>
    <w:rsid w:val="003D72DA"/>
    <w:rsid w:val="003F1F97"/>
    <w:rsid w:val="0041048F"/>
    <w:rsid w:val="004610A4"/>
    <w:rsid w:val="004B29FF"/>
    <w:rsid w:val="004C7868"/>
    <w:rsid w:val="00503A3E"/>
    <w:rsid w:val="00523686"/>
    <w:rsid w:val="00527F02"/>
    <w:rsid w:val="00574202"/>
    <w:rsid w:val="0058440A"/>
    <w:rsid w:val="00591983"/>
    <w:rsid w:val="00624A42"/>
    <w:rsid w:val="0065522F"/>
    <w:rsid w:val="006A30F7"/>
    <w:rsid w:val="006C42AD"/>
    <w:rsid w:val="00741CC0"/>
    <w:rsid w:val="00782291"/>
    <w:rsid w:val="007B512F"/>
    <w:rsid w:val="007D2F65"/>
    <w:rsid w:val="007F7512"/>
    <w:rsid w:val="00810894"/>
    <w:rsid w:val="008143AB"/>
    <w:rsid w:val="00836667"/>
    <w:rsid w:val="008C2F11"/>
    <w:rsid w:val="008D78B9"/>
    <w:rsid w:val="008E3F85"/>
    <w:rsid w:val="009051E8"/>
    <w:rsid w:val="00914156"/>
    <w:rsid w:val="00916FF8"/>
    <w:rsid w:val="00922093"/>
    <w:rsid w:val="00930C85"/>
    <w:rsid w:val="00951FDA"/>
    <w:rsid w:val="009973CC"/>
    <w:rsid w:val="009B38DA"/>
    <w:rsid w:val="009F2F53"/>
    <w:rsid w:val="009F4187"/>
    <w:rsid w:val="00A014C5"/>
    <w:rsid w:val="00A06A38"/>
    <w:rsid w:val="00A12E0F"/>
    <w:rsid w:val="00A34B9B"/>
    <w:rsid w:val="00A51FAE"/>
    <w:rsid w:val="00A821BF"/>
    <w:rsid w:val="00AB69F7"/>
    <w:rsid w:val="00AD097B"/>
    <w:rsid w:val="00AD22AE"/>
    <w:rsid w:val="00AD64B9"/>
    <w:rsid w:val="00AE022B"/>
    <w:rsid w:val="00B009CC"/>
    <w:rsid w:val="00B0782A"/>
    <w:rsid w:val="00B62B8C"/>
    <w:rsid w:val="00B63343"/>
    <w:rsid w:val="00BA0B08"/>
    <w:rsid w:val="00BC0E82"/>
    <w:rsid w:val="00BD40F9"/>
    <w:rsid w:val="00BE671E"/>
    <w:rsid w:val="00C41C86"/>
    <w:rsid w:val="00C52B42"/>
    <w:rsid w:val="00C63A6C"/>
    <w:rsid w:val="00CA13AF"/>
    <w:rsid w:val="00CA1444"/>
    <w:rsid w:val="00CB1590"/>
    <w:rsid w:val="00CB7600"/>
    <w:rsid w:val="00CC3639"/>
    <w:rsid w:val="00D00B1D"/>
    <w:rsid w:val="00D25F16"/>
    <w:rsid w:val="00E21CA9"/>
    <w:rsid w:val="00E31063"/>
    <w:rsid w:val="00E36FE9"/>
    <w:rsid w:val="00E73E98"/>
    <w:rsid w:val="00E90D72"/>
    <w:rsid w:val="00EC23AC"/>
    <w:rsid w:val="00ED46A4"/>
    <w:rsid w:val="00ED6FD9"/>
    <w:rsid w:val="00EE3810"/>
    <w:rsid w:val="00F63C3B"/>
    <w:rsid w:val="00F959DB"/>
    <w:rsid w:val="00FA2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1AD10"/>
  <w15:chartTrackingRefBased/>
  <w15:docId w15:val="{B05BABF8-0E80-4035-9724-FCAAF31D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0">
    <w:name w:val="Ruller4"/>
    <w:basedOn w:val="a"/>
    <w:link w:val="Ruller41"/>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0"/>
    <w:next w:val="Ruller40"/>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paragraph" w:customStyle="1" w:styleId="Ruller4">
    <w:name w:val="Ruller 4 ממוספר"/>
    <w:basedOn w:val="Ruller40"/>
    <w:next w:val="Ruller40"/>
    <w:rsid w:val="00A34B9B"/>
    <w:pPr>
      <w:numPr>
        <w:numId w:val="11"/>
      </w:numPr>
    </w:pPr>
    <w:rPr>
      <w:rFonts w:ascii="Garamond" w:hAnsi="Garamond"/>
      <w:sz w:val="24"/>
    </w:rPr>
  </w:style>
  <w:style w:type="character" w:customStyle="1" w:styleId="Ruller41">
    <w:name w:val="Ruller4 תו"/>
    <w:link w:val="Ruller40"/>
    <w:locked/>
    <w:rsid w:val="00A34B9B"/>
    <w:rPr>
      <w:rFonts w:ascii="Arial TUR" w:hAnsi="Arial TUR" w:cs="FrankRuehl"/>
      <w:spacing w:val="1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1872</Words>
  <Characters>9017</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10868</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2022-06-01T15:30:55Z</cp:lastPrinted>
  <dcterms:created xsi:type="dcterms:W3CDTF">2022-06-01T15:30:55Z</dcterms:created>
  <dcterms:modified xsi:type="dcterms:W3CDTF">2022-06-01T15:30:55Z</dcterms:modified>
</cp:coreProperties>
</file>